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0" w:after="60"/>
        <w:jc w:val="left"/>
        <w:rPr>
          <w:bdr w:val="single" w:sz="16" w:space="1" w:color="000000"/>
        </w:rPr>
      </w:pPr>
      <w:bookmarkStart w:id="0" w:name="e7952_6k.htm"/>
      <w:bookmarkStart w:id="1" w:name="kse7952_6k"/>
      <w:bookmarkEnd w:id="0"/>
      <w:bookmarkEnd w:id="1"/>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101__20"/>
      <w:bookmarkEnd w:id="2"/>
      <w:r>
        <w:rPr>
          <w:rFonts w:ascii="Times New Roman;Times;Serif" w:hAnsi="Times New Roman;Times;Serif"/>
          <w:b/>
          <w:i w:val="false"/>
          <w:caps w:val="false"/>
          <w:smallCaps w:val="false"/>
          <w:sz w:val="36"/>
        </w:rPr>
        <w:t>6-K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3" w:name="xdx_909_edei--EntityFileNumber_c20260101"/>
      <w:bookmarkEnd w:id="3"/>
      <w:r>
        <w:rPr>
          <w:rFonts w:ascii="Times New Roman;Times;Serif" w:hAnsi="Times New Roman;Times;Serif"/>
          <w:b/>
          <w:i w:val="false"/>
          <w:caps w:val="false"/>
          <w:smallCaps w:val="false"/>
          <w:sz w:val="20"/>
        </w:rPr>
        <w:t>001-42286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48"/>
        </w:rPr>
      </w:pPr>
      <w:bookmarkStart w:id="4" w:name="xdx_905_edei--EntityRegistrantName_c2026"/>
      <w:bookmarkEnd w:id="4"/>
      <w:r>
        <w:rPr>
          <w:rFonts w:ascii="Times New Roman;Times;Serif" w:hAnsi="Times New Roman;Times;Serif"/>
          <w:b/>
          <w:i w:val="false"/>
          <w:caps w:val="false"/>
          <w:smallCaps w:val="false"/>
          <w:sz w:val="48"/>
        </w:rPr>
        <w:t>ZJK Industrial Co.,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xdx_90D_edei--EntityAddressAddressLine1_"/>
      <w:bookmarkEnd w:id="5"/>
      <w:r>
        <w:rPr>
          <w:rFonts w:ascii="Times New Roman;Times;Serif" w:hAnsi="Times New Roman;Times;Serif"/>
          <w:b/>
          <w:i w:val="false"/>
          <w:caps w:val="false"/>
          <w:smallCaps w:val="false"/>
          <w:sz w:val="20"/>
        </w:rPr>
        <w:t>No.8, Jingqiang Road, 138 Industrial Zone,</w:t>
      </w:r>
    </w:p>
    <w:p>
      <w:pPr>
        <w:pStyle w:val="TextBody"/>
        <w:bidi w:val="0"/>
        <w:jc w:val="center"/>
        <w:rPr>
          <w:rFonts w:ascii="Times New Roman;Times;Serif" w:hAnsi="Times New Roman;Times;Serif"/>
          <w:b/>
          <w:i w:val="false"/>
          <w:caps w:val="false"/>
          <w:smallCaps w:val="false"/>
          <w:sz w:val="20"/>
        </w:rPr>
      </w:pPr>
      <w:bookmarkStart w:id="6" w:name="xdx_909_edei--EntityAddressAddressLine2_"/>
      <w:bookmarkEnd w:id="6"/>
      <w:r>
        <w:rPr>
          <w:rFonts w:ascii="Times New Roman;Times;Serif" w:hAnsi="Times New Roman;Times;Serif"/>
          <w:b/>
          <w:i w:val="false"/>
          <w:caps w:val="false"/>
          <w:smallCaps w:val="false"/>
          <w:sz w:val="20"/>
        </w:rPr>
        <w:t>Xiuxin Community, Kengzi Town,</w:t>
      </w:r>
    </w:p>
    <w:p>
      <w:pPr>
        <w:pStyle w:val="TextBody"/>
        <w:bidi w:val="0"/>
        <w:jc w:val="center"/>
        <w:rPr>
          <w:rFonts w:ascii="Times New Roman;Times;Serif" w:hAnsi="Times New Roman;Times;Serif"/>
          <w:b/>
          <w:i w:val="false"/>
          <w:caps w:val="false"/>
          <w:smallCaps w:val="false"/>
          <w:sz w:val="20"/>
        </w:rPr>
      </w:pPr>
      <w:bookmarkStart w:id="7" w:name="xdx_900_edei--EntityAddressAddressLine3_"/>
      <w:bookmarkEnd w:id="7"/>
      <w:r>
        <w:rPr>
          <w:rFonts w:ascii="Times New Roman;Times;Serif" w:hAnsi="Times New Roman;Times;Serif"/>
          <w:b/>
          <w:i w:val="false"/>
          <w:caps w:val="false"/>
          <w:smallCaps w:val="false"/>
          <w:sz w:val="20"/>
        </w:rPr>
        <w:t xml:space="preserve">Pingshan New Area, </w:t>
      </w:r>
      <w:bookmarkStart w:id="8" w:name="xdx_908_edei--EntityAddressCityOrTown_c2"/>
      <w:bookmarkEnd w:id="8"/>
      <w:r>
        <w:rPr>
          <w:rFonts w:ascii="Times New Roman;Times;Serif" w:hAnsi="Times New Roman;Times;Serif"/>
          <w:b/>
          <w:i w:val="false"/>
          <w:caps w:val="false"/>
          <w:smallCaps w:val="false"/>
          <w:sz w:val="20"/>
        </w:rPr>
        <w:t>Shenzhen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People’s Republic of </w:t>
      </w:r>
      <w:bookmarkStart w:id="9" w:name="xdx_905_edei--EntityAddressCountry_c2026"/>
      <w:bookmarkEnd w:id="9"/>
      <w:r>
        <w:rPr>
          <w:rFonts w:ascii="Times New Roman;Times;Serif" w:hAnsi="Times New Roman;Times;Serif"/>
          <w:b/>
          <w:i w:val="false"/>
          <w:caps w:val="false"/>
          <w:smallCaps w:val="false"/>
          <w:sz w:val="20"/>
        </w:rPr>
        <w:t xml:space="preserve">China, </w:t>
      </w:r>
      <w:bookmarkStart w:id="10" w:name="xdx_90E_edei--EntityAddressPostalZipCode"/>
      <w:bookmarkEnd w:id="10"/>
      <w:r>
        <w:rPr>
          <w:rFonts w:ascii="Times New Roman;Times;Serif" w:hAnsi="Times New Roman;Times;Serif"/>
          <w:b/>
          <w:i w:val="false"/>
          <w:caps w:val="false"/>
          <w:smallCaps w:val="false"/>
          <w:sz w:val="20"/>
        </w:rPr>
        <w:t>518122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+86-0755-28341175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EXPLANATORY NOTE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(the “Company”) is furnishing this Form 6-K to provide (i) unaudited consolidated financial statements for the six months ended June 30, 2025 and 2026 and related notes, attached hereto as Exhibit 99.1, (ii) operating and financial review and prospects for the six months ended June 30, 2025 and 2026, attached hereto as Exhibit 99.2, and (iii) press release titled “ZJK Industrial Co., Ltd. Reports Financial Results for First Half of Fiscal Year 2026,” attached hereto as Exhibit 99.3.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jc w:val="both"/>
        <w:rPr>
          <w:caps w:val="false"/>
          <w:smallCaps w:val="false"/>
        </w:rPr>
      </w:pPr>
      <w:r>
        <w:rPr>
          <w:caps w:val="false"/>
          <w:smallCaps w:val="false"/>
        </w:rPr>
        <w:t> </w:t>
      </w:r>
    </w:p>
    <w:p>
      <w:pPr>
        <w:pStyle w:val="TextBody"/>
        <w:bidi w:val="0"/>
        <w:jc w:val="both"/>
        <w:rPr/>
      </w:pPr>
      <w:r>
        <w:rPr>
          <w:rFonts w:ascii="Times New Roman;Times;Serif" w:hAnsi="Times New Roman;Times;Serif"/>
          <w:b w:val="false"/>
          <w:i w:val="false"/>
          <w:caps w:val="false"/>
          <w:smallCaps w:val="false"/>
          <w:sz w:val="20"/>
        </w:rPr>
        <w:t xml:space="preserve">This Form 6-K is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w:t>
      </w:r>
      <w:r>
        <w:rPr>
          <w:rFonts w:ascii="Times New Roman;Times;Serif" w:hAnsi="Times New Roman;Times;Serif"/>
          <w:b w:val="false"/>
          <w:i w:val="false"/>
          <w:caps w:val="false"/>
          <w:smallCaps w:val="false"/>
          <w:strike w:val="false"/>
          <w:dstrike w:val="false"/>
          <w:sz w:val="20"/>
          <w:u w:val="none"/>
          <w:effect w:val="none"/>
        </w:rPr>
        <w:t>333-288383</w:t>
      </w:r>
      <w:r>
        <w:rPr>
          <w:rFonts w:ascii="Times New Roman;Times;Serif" w:hAnsi="Times New Roman;Times;Serif"/>
          <w:b w:val="false"/>
          <w:i w:val="false"/>
          <w:caps w:val="false"/>
          <w:smallCaps w:val="false"/>
          <w:sz w:val="20"/>
        </w:rPr>
        <w:t xml:space="preserve">) filed with the SEC on June 27, 2025 and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w:t>
      </w:r>
      <w:r>
        <w:rPr>
          <w:rFonts w:ascii="Times New Roman;Times;Serif" w:hAnsi="Times New Roman;Times;Serif"/>
          <w:b w:val="false"/>
          <w:i w:val="false"/>
          <w:caps w:val="false"/>
          <w:smallCaps w:val="false"/>
          <w:strike w:val="false"/>
          <w:dstrike w:val="false"/>
          <w:sz w:val="20"/>
          <w:u w:val="none"/>
          <w:effect w:val="none"/>
        </w:rPr>
        <w:t>333-293519</w:t>
      </w:r>
      <w:r>
        <w:rPr>
          <w:rFonts w:ascii="Times New Roman;Times;Serif" w:hAnsi="Times New Roman;Times;Serif"/>
          <w:b w:val="false"/>
          <w:i w:val="false"/>
          <w:caps w:val="false"/>
          <w:smallCaps w:val="false"/>
          <w:sz w:val="20"/>
        </w:rPr>
        <w:t>) that was initially filed with the SEC on February 17, 2026 and declared effective by the SEC on March 27,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jc w:val="both"/>
        <w:rPr>
          <w:caps w:val="false"/>
          <w:smallCaps w:val="false"/>
        </w:rPr>
      </w:pPr>
      <w:r>
        <w:rPr>
          <w:caps w:val="false"/>
          <w:smallCaps w:val="false"/>
        </w:rPr>
        <w:t> </w:t>
      </w:r>
    </w:p>
    <w:tbl>
      <w:tblPr>
        <w:tblW w:w="10000" w:type="dxa"/>
        <w:jc w:val="left"/>
        <w:tblInd w:w="0" w:type="dxa"/>
        <w:tblLayout w:type="fixed"/>
        <w:tblCellMar>
          <w:top w:w="0" w:type="dxa"/>
          <w:left w:w="0" w:type="dxa"/>
          <w:bottom w:w="28" w:type="dxa"/>
          <w:right w:w="0" w:type="dxa"/>
        </w:tblCellMar>
      </w:tblPr>
      <w:tblGrid>
        <w:gridCol w:w="1400"/>
        <w:gridCol w:w="60"/>
        <w:gridCol w:w="8540"/>
      </w:tblGrid>
      <w:tr>
        <w:trPr/>
        <w:tc>
          <w:tcPr>
            <w:tcW w:w="1400" w:type="dxa"/>
            <w:tcBorders>
              <w:bottom w:val="single" w:sz="8"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540" w:type="dxa"/>
            <w:tcBorders>
              <w:bottom w:val="single" w:sz="8" w:space="0" w:color="000000"/>
            </w:tcBorders>
            <w:vAlign w:val="center"/>
          </w:tcPr>
          <w:p>
            <w:pPr>
              <w:pStyle w:val="TableContents"/>
              <w:bidi w:val="0"/>
              <w:spacing w:before="0" w:after="283"/>
              <w:jc w:val="left"/>
              <w:rPr>
                <w:b/>
                <w:sz w:val="20"/>
              </w:rPr>
            </w:pPr>
            <w:r>
              <w:rPr>
                <w:b/>
                <w:sz w:val="20"/>
              </w:rPr>
              <w:t>Exhibit Description</w:t>
            </w:r>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40" w:type="dxa"/>
            <w:tcBorders/>
            <w:shd w:fill="CCEEFF" w:val="clear"/>
            <w:tcMar>
              <w:bottom w:w="0" w:type="dxa"/>
            </w:tcMar>
            <w:vAlign w:val="center"/>
          </w:tcPr>
          <w:p>
            <w:pPr>
              <w:pStyle w:val="TableContents"/>
              <w:bidi w:val="0"/>
              <w:spacing w:before="0" w:after="283"/>
              <w:jc w:val="left"/>
              <w:rPr/>
            </w:pPr>
            <w:hyperlink w:anchor="e7952_ex99-1.htm">
              <w:r>
                <w:rPr>
                  <w:rStyle w:val="InternetLink"/>
                  <w:sz w:val="20"/>
                </w:rPr>
                <w:t>Unaudited Consolidated Financial Statements for the Six Months Ended June 30, 2025 and 2026</w:t>
              </w:r>
            </w:hyperlink>
          </w:p>
        </w:tc>
      </w:tr>
      <w:tr>
        <w:trPr/>
        <w:tc>
          <w:tcPr>
            <w:tcW w:w="1400" w:type="dxa"/>
            <w:tcBorders/>
            <w:shd w:fill="FFFFFF" w:val="clear"/>
            <w:tcMar>
              <w:bottom w:w="0" w:type="dxa"/>
            </w:tcMar>
            <w:vAlign w:val="center"/>
          </w:tcPr>
          <w:p>
            <w:pPr>
              <w:pStyle w:val="TableContents"/>
              <w:bidi w:val="0"/>
              <w:spacing w:before="0" w:after="283"/>
              <w:jc w:val="left"/>
              <w:rPr>
                <w:sz w:val="20"/>
              </w:rPr>
            </w:pPr>
            <w:r>
              <w:rPr>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40" w:type="dxa"/>
            <w:tcBorders/>
            <w:shd w:fill="FFFFFF" w:val="clear"/>
            <w:tcMar>
              <w:bottom w:w="0" w:type="dxa"/>
            </w:tcMar>
            <w:vAlign w:val="center"/>
          </w:tcPr>
          <w:p>
            <w:pPr>
              <w:pStyle w:val="TableContents"/>
              <w:bidi w:val="0"/>
              <w:spacing w:before="0" w:after="283"/>
              <w:jc w:val="left"/>
              <w:rPr/>
            </w:pPr>
            <w:hyperlink w:anchor="e7952_ex99-2.htm">
              <w:r>
                <w:rPr>
                  <w:rStyle w:val="InternetLink"/>
                  <w:sz w:val="20"/>
                </w:rPr>
                <w:t>Operating and Financial Review and Prospects for the Six Months Ended June 30, 2025 and 2026</w:t>
              </w:r>
            </w:hyperlink>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40" w:type="dxa"/>
            <w:tcBorders/>
            <w:shd w:fill="CCEEFF" w:val="clear"/>
            <w:tcMar>
              <w:bottom w:w="0" w:type="dxa"/>
            </w:tcMar>
            <w:vAlign w:val="center"/>
          </w:tcPr>
          <w:p>
            <w:pPr>
              <w:pStyle w:val="TableContents"/>
              <w:bidi w:val="0"/>
              <w:spacing w:before="0" w:after="283"/>
              <w:jc w:val="both"/>
              <w:rPr/>
            </w:pPr>
            <w:hyperlink w:anchor="e7952_ex99-3.htm">
              <w:r>
                <w:rPr>
                  <w:rStyle w:val="InternetLink"/>
                  <w:sz w:val="20"/>
                </w:rPr>
                <w:t>Press Release titled “ZJK Industrial Co., Ltd. Reports Financial Results for First Half of Fiscal Year 2026”</w:t>
              </w:r>
            </w:hyperlink>
          </w:p>
        </w:tc>
      </w:tr>
      <w:tr>
        <w:trPr/>
        <w:tc>
          <w:tcPr>
            <w:tcW w:w="1400" w:type="dxa"/>
            <w:tcBorders/>
            <w:shd w:fill="FFFFFF" w:val="clear"/>
            <w:tcMar>
              <w:bottom w:w="0" w:type="dxa"/>
            </w:tcMar>
            <w:vAlign w:val="center"/>
          </w:tcPr>
          <w:p>
            <w:pPr>
              <w:pStyle w:val="TableContents"/>
              <w:bidi w:val="0"/>
              <w:spacing w:before="0" w:after="283"/>
              <w:jc w:val="left"/>
              <w:rPr>
                <w:sz w:val="20"/>
              </w:rPr>
            </w:pPr>
            <w:r>
              <w:rPr>
                <w:sz w:val="20"/>
              </w:rPr>
              <w:t>101.INS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40" w:type="dxa"/>
            <w:tcBorders/>
            <w:shd w:fill="FFFFFF" w:val="clear"/>
            <w:tcMar>
              <w:bottom w:w="0" w:type="dxa"/>
            </w:tcMar>
            <w:vAlign w:val="center"/>
          </w:tcPr>
          <w:p>
            <w:pPr>
              <w:pStyle w:val="TableContents"/>
              <w:bidi w:val="0"/>
              <w:spacing w:before="0" w:after="283"/>
              <w:jc w:val="left"/>
              <w:rPr>
                <w:sz w:val="20"/>
              </w:rPr>
            </w:pPr>
            <w:r>
              <w:rPr>
                <w:sz w:val="20"/>
              </w:rPr>
              <w:t>Inline XBRL Instance Document</w:t>
            </w:r>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40" w:type="dxa"/>
            <w:tcBorders/>
            <w:shd w:fill="CCEEFF" w:val="clear"/>
            <w:tcMar>
              <w:bottom w:w="0" w:type="dxa"/>
            </w:tcMar>
            <w:vAlign w:val="center"/>
          </w:tcPr>
          <w:p>
            <w:pPr>
              <w:pStyle w:val="TableContents"/>
              <w:bidi w:val="0"/>
              <w:spacing w:before="0" w:after="283"/>
              <w:jc w:val="left"/>
              <w:rPr>
                <w:sz w:val="20"/>
              </w:rPr>
            </w:pPr>
            <w:r>
              <w:rPr>
                <w:sz w:val="20"/>
              </w:rPr>
              <w:t>Inline XBRL Taxonomy Extension Schema Document</w:t>
            </w:r>
          </w:p>
        </w:tc>
      </w:tr>
      <w:tr>
        <w:trPr/>
        <w:tc>
          <w:tcPr>
            <w:tcW w:w="1400" w:type="dxa"/>
            <w:tcBorders/>
            <w:shd w:fill="FFFFFF" w:val="clear"/>
            <w:tcMar>
              <w:bottom w:w="0" w:type="dxa"/>
            </w:tcMar>
            <w:vAlign w:val="center"/>
          </w:tcPr>
          <w:p>
            <w:pPr>
              <w:pStyle w:val="TableContents"/>
              <w:bidi w:val="0"/>
              <w:spacing w:before="0" w:after="283"/>
              <w:jc w:val="left"/>
              <w:rPr>
                <w:sz w:val="20"/>
              </w:rPr>
            </w:pPr>
            <w:r>
              <w:rPr>
                <w:sz w:val="20"/>
              </w:rPr>
              <w:t>101.CAL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40" w:type="dxa"/>
            <w:tcBorders/>
            <w:shd w:fill="FFFFFF" w:val="clear"/>
            <w:tcMar>
              <w:bottom w:w="0" w:type="dxa"/>
            </w:tcMar>
            <w:vAlign w:val="center"/>
          </w:tcPr>
          <w:p>
            <w:pPr>
              <w:pStyle w:val="TableContents"/>
              <w:bidi w:val="0"/>
              <w:spacing w:before="0" w:after="283"/>
              <w:jc w:val="left"/>
              <w:rPr>
                <w:sz w:val="20"/>
              </w:rPr>
            </w:pPr>
            <w:r>
              <w:rPr>
                <w:sz w:val="20"/>
              </w:rPr>
              <w:t>Inline XBRL Taxonomy Extension Calculation Linkbase Document</w:t>
            </w:r>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40" w:type="dxa"/>
            <w:tcBorders/>
            <w:shd w:fill="CCEEFF" w:val="clear"/>
            <w:tcMar>
              <w:bottom w:w="0" w:type="dxa"/>
            </w:tcMar>
            <w:vAlign w:val="center"/>
          </w:tcPr>
          <w:p>
            <w:pPr>
              <w:pStyle w:val="TableContents"/>
              <w:bidi w:val="0"/>
              <w:spacing w:before="0" w:after="283"/>
              <w:jc w:val="left"/>
              <w:rPr>
                <w:sz w:val="20"/>
              </w:rPr>
            </w:pPr>
            <w:r>
              <w:rPr>
                <w:sz w:val="20"/>
              </w:rPr>
              <w:t>Inline XBRL Taxonomy Extension Definition Linkbase Document</w:t>
            </w:r>
          </w:p>
        </w:tc>
      </w:tr>
      <w:tr>
        <w:trPr/>
        <w:tc>
          <w:tcPr>
            <w:tcW w:w="1400" w:type="dxa"/>
            <w:tcBorders/>
            <w:shd w:fill="FFFFFF" w:val="clear"/>
            <w:tcMar>
              <w:bottom w:w="0" w:type="dxa"/>
            </w:tcMar>
            <w:vAlign w:val="center"/>
          </w:tcPr>
          <w:p>
            <w:pPr>
              <w:pStyle w:val="TableContents"/>
              <w:bidi w:val="0"/>
              <w:spacing w:before="0" w:after="283"/>
              <w:jc w:val="left"/>
              <w:rPr>
                <w:sz w:val="20"/>
              </w:rPr>
            </w:pPr>
            <w:r>
              <w:rPr>
                <w:sz w:val="20"/>
              </w:rPr>
              <w:t>101.LAB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40" w:type="dxa"/>
            <w:tcBorders/>
            <w:shd w:fill="FFFFFF" w:val="clear"/>
            <w:tcMar>
              <w:bottom w:w="0" w:type="dxa"/>
            </w:tcMar>
            <w:vAlign w:val="center"/>
          </w:tcPr>
          <w:p>
            <w:pPr>
              <w:pStyle w:val="TableContents"/>
              <w:bidi w:val="0"/>
              <w:spacing w:before="0" w:after="283"/>
              <w:jc w:val="left"/>
              <w:rPr>
                <w:sz w:val="20"/>
              </w:rPr>
            </w:pPr>
            <w:r>
              <w:rPr>
                <w:sz w:val="20"/>
              </w:rPr>
              <w:t>Inline XBRL Taxonomy Extension Label Linkbase Document</w:t>
            </w:r>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40" w:type="dxa"/>
            <w:tcBorders/>
            <w:shd w:fill="CCEEFF" w:val="clear"/>
            <w:tcMar>
              <w:bottom w:w="0" w:type="dxa"/>
            </w:tcMar>
            <w:vAlign w:val="center"/>
          </w:tcPr>
          <w:p>
            <w:pPr>
              <w:pStyle w:val="TableContents"/>
              <w:bidi w:val="0"/>
              <w:spacing w:before="0" w:after="283"/>
              <w:jc w:val="left"/>
              <w:rPr>
                <w:sz w:val="20"/>
              </w:rPr>
            </w:pPr>
            <w:r>
              <w:rPr>
                <w:sz w:val="20"/>
              </w:rPr>
              <w:t>Inline XBRL Taxonomy Extension Presentation Linkbase Document</w:t>
            </w:r>
          </w:p>
        </w:tc>
      </w:tr>
      <w:tr>
        <w:trPr/>
        <w:tc>
          <w:tcPr>
            <w:tcW w:w="1400"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4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thereto duly authorized.</w:t>
      </w:r>
    </w:p>
    <w:p>
      <w:pPr>
        <w:pStyle w:val="TextBody"/>
        <w:bidi w:val="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5"/>
        <w:gridCol w:w="6875"/>
        <w:gridCol w:w="75"/>
      </w:tblGrid>
      <w:tr>
        <w:trPr/>
        <w:tc>
          <w:tcPr>
            <w:tcW w:w="7480" w:type="dxa"/>
            <w:gridSpan w:val="2"/>
            <w:tcBorders/>
            <w:vAlign w:val="center"/>
          </w:tcPr>
          <w:p>
            <w:pPr>
              <w:pStyle w:val="TableContents"/>
              <w:bidi w:val="0"/>
              <w:spacing w:before="0" w:after="283"/>
              <w:jc w:val="left"/>
              <w:rPr>
                <w:sz w:val="20"/>
              </w:rPr>
            </w:pPr>
            <w:r>
              <w:rPr>
                <w:sz w:val="20"/>
              </w:rPr>
              <w:t>ZJK Industrial Co., Ltd.</w:t>
            </w:r>
          </w:p>
        </w:tc>
        <w:tc>
          <w:tcPr>
            <w:tcW w:w="75" w:type="dxa"/>
            <w:tcBorders/>
            <w:vAlign w:val="center"/>
          </w:tcPr>
          <w:p>
            <w:pPr>
              <w:pStyle w:val="TableContents"/>
              <w:bidi w:val="0"/>
              <w:spacing w:before="0" w:after="283"/>
              <w:jc w:val="left"/>
              <w:rPr/>
            </w:pPr>
            <w:r>
              <w:rPr/>
              <w:t> </w:t>
            </w:r>
          </w:p>
        </w:tc>
      </w:tr>
      <w:tr>
        <w:trPr/>
        <w:tc>
          <w:tcPr>
            <w:tcW w:w="7480" w:type="dxa"/>
            <w:gridSpan w:val="2"/>
            <w:tcBorders/>
            <w:vAlign w:val="center"/>
          </w:tcPr>
          <w:p>
            <w:pPr>
              <w:pStyle w:val="TableContents"/>
              <w:bidi w:val="0"/>
              <w:spacing w:before="0" w:after="283"/>
              <w:jc w:val="left"/>
              <w:rPr>
                <w:sz w:val="20"/>
              </w:rPr>
            </w:pPr>
            <w:r>
              <w:rPr>
                <w:sz w:val="20"/>
              </w:rPr>
              <w:t>(Registrant)</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By:</w:t>
            </w:r>
          </w:p>
        </w:tc>
        <w:tc>
          <w:tcPr>
            <w:tcW w:w="687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Ning Ding</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6875" w:type="dxa"/>
            <w:tcBorders/>
            <w:vAlign w:val="center"/>
          </w:tcPr>
          <w:p>
            <w:pPr>
              <w:pStyle w:val="TableContents"/>
              <w:bidi w:val="0"/>
              <w:spacing w:before="0" w:after="283"/>
              <w:jc w:val="left"/>
              <w:rPr>
                <w:sz w:val="20"/>
              </w:rPr>
            </w:pPr>
            <w:r>
              <w:rPr>
                <w:sz w:val="20"/>
              </w:rPr>
              <w:t>Ning Ding</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6875" w:type="dxa"/>
            <w:tcBorders/>
            <w:vAlign w:val="center"/>
          </w:tcPr>
          <w:p>
            <w:pPr>
              <w:pStyle w:val="TableContents"/>
              <w:bidi w:val="0"/>
              <w:spacing w:before="0" w:after="283"/>
              <w:jc w:val="left"/>
              <w:rPr>
                <w:sz w:val="20"/>
              </w:rPr>
            </w:pPr>
            <w:r>
              <w:rPr>
                <w:sz w:val="20"/>
              </w:rPr>
              <w:t>Chief Executive Officer, Chief Financial Officer, Chairman of the Board and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21, 2026</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200" w:after="60"/>
        <w:jc w:val="left"/>
        <w:rPr>
          <w:bdr w:val="single" w:sz="16" w:space="1" w:color="000000"/>
        </w:rPr>
      </w:pPr>
      <w:bookmarkStart w:id="11" w:name="e7952_ex99-1.htm"/>
      <w:bookmarkStart w:id="12" w:name="kse7952_ex991"/>
      <w:bookmarkEnd w:id="11"/>
      <w:bookmarkEnd w:id="12"/>
      <w:r>
        <w:rPr>
          <w:bdr w:val="single" w:sz="16" w:space="1" w:color="000000"/>
        </w:rPr>
        <w:t> </w:t>
      </w:r>
      <w:r>
        <w:br w:type="page"/>
      </w:r>
    </w:p>
    <w:p>
      <w:pPr>
        <w:pStyle w:val="TextBody"/>
        <w:bidi w:val="0"/>
        <w:spacing w:before="0" w:after="283"/>
        <w:jc w:val="left"/>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UNAUDITED CONSOLIDATED FINANCIAL STATEMENTS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5"/>
        <w:gridCol w:w="500"/>
      </w:tblGrid>
      <w:tr>
        <w:trPr/>
        <w:tc>
          <w:tcPr>
            <w:tcW w:w="9705" w:type="dxa"/>
            <w:tcBorders/>
            <w:vAlign w:val="center"/>
          </w:tcPr>
          <w:p>
            <w:pPr>
              <w:pStyle w:val="TableContents"/>
              <w:bidi w:val="0"/>
              <w:spacing w:before="0" w:after="283"/>
              <w:ind w:left="0" w:right="0" w:hanging="0"/>
              <w:jc w:val="both"/>
              <w:rPr/>
            </w:pPr>
            <w:r>
              <w:rPr/>
              <w:t> </w:t>
            </w:r>
          </w:p>
        </w:tc>
        <w:tc>
          <w:tcPr>
            <w:tcW w:w="500" w:type="dxa"/>
            <w:tcBorders>
              <w:bottom w:val="single" w:sz="8" w:space="0" w:color="000000"/>
            </w:tcBorders>
            <w:tcMar>
              <w:bottom w:w="28" w:type="dxa"/>
            </w:tcMar>
            <w:vAlign w:val="center"/>
          </w:tcPr>
          <w:p>
            <w:pPr>
              <w:pStyle w:val="TableContents"/>
              <w:bidi w:val="0"/>
              <w:spacing w:before="0" w:after="283"/>
              <w:ind w:left="0" w:right="0" w:hanging="0"/>
              <w:jc w:val="center"/>
              <w:rPr>
                <w:sz w:val="20"/>
              </w:rPr>
            </w:pPr>
            <w:r>
              <w:rPr>
                <w:b/>
                <w:sz w:val="20"/>
              </w:rPr>
              <w:t>Page</w:t>
            </w:r>
            <w:r>
              <w:rPr>
                <w:sz w:val="20"/>
              </w:rPr>
              <w:t> </w:t>
            </w:r>
          </w:p>
        </w:tc>
      </w:tr>
      <w:tr>
        <w:trPr/>
        <w:tc>
          <w:tcPr>
            <w:tcW w:w="9705" w:type="dxa"/>
            <w:tcBorders/>
            <w:shd w:fill="CCEEFF" w:val="clear"/>
            <w:vAlign w:val="center"/>
          </w:tcPr>
          <w:p>
            <w:pPr>
              <w:pStyle w:val="TableContents"/>
              <w:bidi w:val="0"/>
              <w:spacing w:before="0" w:after="283"/>
              <w:ind w:left="0" w:right="0" w:hanging="0"/>
              <w:jc w:val="both"/>
              <w:rPr/>
            </w:pPr>
            <w:hyperlink w:anchor="a_001">
              <w:r>
                <w:rPr>
                  <w:rStyle w:val="InternetLink"/>
                  <w:sz w:val="20"/>
                </w:rPr>
                <w:t>Condensed Consolidated Balance Sheets as of December 31, 2025 and June 30, 2026 (unaudited)</w:t>
              </w:r>
            </w:hyperlink>
          </w:p>
        </w:tc>
        <w:tc>
          <w:tcPr>
            <w:tcW w:w="500" w:type="dxa"/>
            <w:tcBorders/>
            <w:shd w:fill="CCEEFF" w:val="clear"/>
            <w:vAlign w:val="center"/>
          </w:tcPr>
          <w:p>
            <w:pPr>
              <w:pStyle w:val="TableContents"/>
              <w:bidi w:val="0"/>
              <w:spacing w:before="0" w:after="283"/>
              <w:ind w:left="0" w:right="0" w:hanging="0"/>
              <w:jc w:val="center"/>
              <w:rPr>
                <w:sz w:val="20"/>
              </w:rPr>
            </w:pPr>
            <w:r>
              <w:rPr>
                <w:sz w:val="20"/>
              </w:rPr>
              <w:t>F-2</w:t>
            </w:r>
          </w:p>
        </w:tc>
      </w:tr>
      <w:tr>
        <w:trPr/>
        <w:tc>
          <w:tcPr>
            <w:tcW w:w="9705" w:type="dxa"/>
            <w:tcBorders/>
            <w:shd w:fill="FFFFFF" w:val="clear"/>
            <w:vAlign w:val="center"/>
          </w:tcPr>
          <w:p>
            <w:pPr>
              <w:pStyle w:val="TableContents"/>
              <w:bidi w:val="0"/>
              <w:spacing w:before="0" w:after="283"/>
              <w:ind w:left="0" w:right="0" w:hanging="0"/>
              <w:jc w:val="both"/>
              <w:rPr/>
            </w:pPr>
            <w:r>
              <w:rPr/>
              <w:t> </w:t>
            </w:r>
          </w:p>
        </w:tc>
        <w:tc>
          <w:tcPr>
            <w:tcW w:w="500" w:type="dxa"/>
            <w:tcBorders/>
            <w:shd w:fill="FFFFFF" w:val="clear"/>
            <w:vAlign w:val="center"/>
          </w:tcPr>
          <w:p>
            <w:pPr>
              <w:pStyle w:val="TableContents"/>
              <w:bidi w:val="0"/>
              <w:spacing w:before="0" w:after="283"/>
              <w:ind w:left="0" w:right="0" w:hanging="0"/>
              <w:jc w:val="center"/>
              <w:rPr/>
            </w:pPr>
            <w:r>
              <w:rPr/>
              <w:t> </w:t>
            </w:r>
          </w:p>
        </w:tc>
      </w:tr>
      <w:tr>
        <w:trPr/>
        <w:tc>
          <w:tcPr>
            <w:tcW w:w="9705" w:type="dxa"/>
            <w:tcBorders/>
            <w:shd w:fill="CCEEFF" w:val="clear"/>
            <w:vAlign w:val="center"/>
          </w:tcPr>
          <w:p>
            <w:pPr>
              <w:pStyle w:val="TableContents"/>
              <w:bidi w:val="0"/>
              <w:spacing w:before="0" w:after="283"/>
              <w:ind w:left="0" w:right="0" w:hanging="0"/>
              <w:jc w:val="both"/>
              <w:rPr/>
            </w:pPr>
            <w:hyperlink w:anchor="a_002">
              <w:r>
                <w:rPr>
                  <w:rStyle w:val="InternetLink"/>
                  <w:sz w:val="20"/>
                </w:rPr>
                <w:t xml:space="preserve">Unaudited Condensed Consolidated Statements of Income and Comprehensive Income for the six months ended June 30, 2025 and 2026 </w:t>
              </w:r>
            </w:hyperlink>
          </w:p>
        </w:tc>
        <w:tc>
          <w:tcPr>
            <w:tcW w:w="500" w:type="dxa"/>
            <w:tcBorders/>
            <w:shd w:fill="CCEEFF" w:val="clear"/>
            <w:vAlign w:val="center"/>
          </w:tcPr>
          <w:p>
            <w:pPr>
              <w:pStyle w:val="TableContents"/>
              <w:bidi w:val="0"/>
              <w:spacing w:before="0" w:after="283"/>
              <w:ind w:left="0" w:right="0" w:hanging="0"/>
              <w:jc w:val="center"/>
              <w:rPr>
                <w:sz w:val="20"/>
              </w:rPr>
            </w:pPr>
            <w:r>
              <w:rPr>
                <w:sz w:val="20"/>
              </w:rPr>
              <w:t>F-3</w:t>
            </w:r>
          </w:p>
        </w:tc>
      </w:tr>
      <w:tr>
        <w:trPr/>
        <w:tc>
          <w:tcPr>
            <w:tcW w:w="9705" w:type="dxa"/>
            <w:tcBorders/>
            <w:shd w:fill="FFFFFF" w:val="clear"/>
            <w:vAlign w:val="center"/>
          </w:tcPr>
          <w:p>
            <w:pPr>
              <w:pStyle w:val="TableContents"/>
              <w:bidi w:val="0"/>
              <w:spacing w:before="0" w:after="283"/>
              <w:ind w:left="0" w:right="0" w:hanging="0"/>
              <w:jc w:val="both"/>
              <w:rPr/>
            </w:pPr>
            <w:r>
              <w:rPr/>
              <w:t> </w:t>
            </w:r>
          </w:p>
        </w:tc>
        <w:tc>
          <w:tcPr>
            <w:tcW w:w="500" w:type="dxa"/>
            <w:tcBorders/>
            <w:shd w:fill="FFFFFF" w:val="clear"/>
            <w:vAlign w:val="center"/>
          </w:tcPr>
          <w:p>
            <w:pPr>
              <w:pStyle w:val="TableContents"/>
              <w:bidi w:val="0"/>
              <w:spacing w:before="0" w:after="283"/>
              <w:ind w:left="0" w:right="0" w:hanging="0"/>
              <w:jc w:val="center"/>
              <w:rPr/>
            </w:pPr>
            <w:r>
              <w:rPr/>
              <w:t> </w:t>
            </w:r>
          </w:p>
        </w:tc>
      </w:tr>
      <w:tr>
        <w:trPr/>
        <w:tc>
          <w:tcPr>
            <w:tcW w:w="9705" w:type="dxa"/>
            <w:tcBorders/>
            <w:shd w:fill="CCEEFF" w:val="clear"/>
            <w:vAlign w:val="center"/>
          </w:tcPr>
          <w:p>
            <w:pPr>
              <w:pStyle w:val="TableContents"/>
              <w:bidi w:val="0"/>
              <w:spacing w:before="0" w:after="283"/>
              <w:ind w:left="0" w:right="0" w:hanging="0"/>
              <w:jc w:val="both"/>
              <w:rPr/>
            </w:pPr>
            <w:hyperlink w:anchor="a_003">
              <w:r>
                <w:rPr>
                  <w:rStyle w:val="InternetLink"/>
                  <w:sz w:val="20"/>
                </w:rPr>
                <w:t>Unaudited Condensed Consolidated Statements of Changes in Shareholders’ Equity for the six months ended June 30, 2025 and 2026</w:t>
              </w:r>
            </w:hyperlink>
          </w:p>
        </w:tc>
        <w:tc>
          <w:tcPr>
            <w:tcW w:w="500" w:type="dxa"/>
            <w:tcBorders/>
            <w:shd w:fill="CCEEFF" w:val="clear"/>
            <w:vAlign w:val="center"/>
          </w:tcPr>
          <w:p>
            <w:pPr>
              <w:pStyle w:val="TableContents"/>
              <w:bidi w:val="0"/>
              <w:spacing w:before="0" w:after="283"/>
              <w:ind w:left="0" w:right="0" w:hanging="0"/>
              <w:jc w:val="center"/>
              <w:rPr>
                <w:sz w:val="20"/>
              </w:rPr>
            </w:pPr>
            <w:r>
              <w:rPr>
                <w:sz w:val="20"/>
              </w:rPr>
              <w:t>F-4</w:t>
            </w:r>
          </w:p>
        </w:tc>
      </w:tr>
      <w:tr>
        <w:trPr/>
        <w:tc>
          <w:tcPr>
            <w:tcW w:w="9705" w:type="dxa"/>
            <w:tcBorders/>
            <w:shd w:fill="FFFFFF" w:val="clear"/>
            <w:vAlign w:val="center"/>
          </w:tcPr>
          <w:p>
            <w:pPr>
              <w:pStyle w:val="TableContents"/>
              <w:bidi w:val="0"/>
              <w:spacing w:before="0" w:after="283"/>
              <w:ind w:left="0" w:right="0" w:hanging="0"/>
              <w:jc w:val="both"/>
              <w:rPr/>
            </w:pPr>
            <w:r>
              <w:rPr/>
              <w:t> </w:t>
            </w:r>
          </w:p>
        </w:tc>
        <w:tc>
          <w:tcPr>
            <w:tcW w:w="500" w:type="dxa"/>
            <w:tcBorders/>
            <w:shd w:fill="FFFFFF" w:val="clear"/>
            <w:vAlign w:val="center"/>
          </w:tcPr>
          <w:p>
            <w:pPr>
              <w:pStyle w:val="TableContents"/>
              <w:bidi w:val="0"/>
              <w:spacing w:before="0" w:after="283"/>
              <w:ind w:left="0" w:right="0" w:hanging="0"/>
              <w:jc w:val="center"/>
              <w:rPr/>
            </w:pPr>
            <w:r>
              <w:rPr/>
              <w:t> </w:t>
            </w:r>
          </w:p>
        </w:tc>
      </w:tr>
      <w:tr>
        <w:trPr/>
        <w:tc>
          <w:tcPr>
            <w:tcW w:w="9705" w:type="dxa"/>
            <w:tcBorders/>
            <w:shd w:fill="CCEEFF" w:val="clear"/>
            <w:vAlign w:val="center"/>
          </w:tcPr>
          <w:p>
            <w:pPr>
              <w:pStyle w:val="TableContents"/>
              <w:bidi w:val="0"/>
              <w:spacing w:before="0" w:after="283"/>
              <w:ind w:left="0" w:right="0" w:hanging="0"/>
              <w:jc w:val="both"/>
              <w:rPr/>
            </w:pPr>
            <w:hyperlink w:anchor="a_004">
              <w:r>
                <w:rPr>
                  <w:rStyle w:val="InternetLink"/>
                  <w:sz w:val="20"/>
                </w:rPr>
                <w:t>Unaudited Condensed Consolidated Statements of Cash Flows for the six months ended June 30, 2025 and 2026</w:t>
              </w:r>
            </w:hyperlink>
          </w:p>
        </w:tc>
        <w:tc>
          <w:tcPr>
            <w:tcW w:w="500" w:type="dxa"/>
            <w:tcBorders/>
            <w:shd w:fill="CCEEFF" w:val="clear"/>
            <w:vAlign w:val="center"/>
          </w:tcPr>
          <w:p>
            <w:pPr>
              <w:pStyle w:val="TableContents"/>
              <w:bidi w:val="0"/>
              <w:spacing w:before="0" w:after="283"/>
              <w:ind w:left="0" w:right="0" w:hanging="0"/>
              <w:jc w:val="center"/>
              <w:rPr>
                <w:sz w:val="20"/>
              </w:rPr>
            </w:pPr>
            <w:r>
              <w:rPr>
                <w:sz w:val="20"/>
              </w:rPr>
              <w:t>F-5</w:t>
            </w:r>
          </w:p>
        </w:tc>
      </w:tr>
      <w:tr>
        <w:trPr/>
        <w:tc>
          <w:tcPr>
            <w:tcW w:w="9705" w:type="dxa"/>
            <w:tcBorders/>
            <w:shd w:fill="FFFFFF" w:val="clear"/>
            <w:vAlign w:val="center"/>
          </w:tcPr>
          <w:p>
            <w:pPr>
              <w:pStyle w:val="TableContents"/>
              <w:bidi w:val="0"/>
              <w:spacing w:before="0" w:after="283"/>
              <w:ind w:left="0" w:right="0" w:hanging="0"/>
              <w:jc w:val="both"/>
              <w:rPr/>
            </w:pPr>
            <w:r>
              <w:rPr/>
              <w:t> </w:t>
            </w:r>
          </w:p>
        </w:tc>
        <w:tc>
          <w:tcPr>
            <w:tcW w:w="500" w:type="dxa"/>
            <w:tcBorders/>
            <w:shd w:fill="FFFFFF" w:val="clear"/>
            <w:vAlign w:val="center"/>
          </w:tcPr>
          <w:p>
            <w:pPr>
              <w:pStyle w:val="TableContents"/>
              <w:bidi w:val="0"/>
              <w:spacing w:before="0" w:after="283"/>
              <w:ind w:left="0" w:right="0" w:hanging="0"/>
              <w:jc w:val="center"/>
              <w:rPr/>
            </w:pPr>
            <w:r>
              <w:rPr/>
              <w:t> </w:t>
            </w:r>
          </w:p>
        </w:tc>
      </w:tr>
      <w:tr>
        <w:trPr/>
        <w:tc>
          <w:tcPr>
            <w:tcW w:w="9705" w:type="dxa"/>
            <w:tcBorders/>
            <w:shd w:fill="CCEEFF" w:val="clear"/>
            <w:vAlign w:val="center"/>
          </w:tcPr>
          <w:p>
            <w:pPr>
              <w:pStyle w:val="TableContents"/>
              <w:bidi w:val="0"/>
              <w:spacing w:before="0" w:after="283"/>
              <w:ind w:left="0" w:right="0" w:hanging="0"/>
              <w:jc w:val="both"/>
              <w:rPr/>
            </w:pPr>
            <w:hyperlink w:anchor="a_005">
              <w:r>
                <w:rPr>
                  <w:rStyle w:val="InternetLink"/>
                  <w:sz w:val="20"/>
                </w:rPr>
                <w:t>Notes to the Unaudited Condensed Consolidated Financial Statements</w:t>
              </w:r>
            </w:hyperlink>
          </w:p>
        </w:tc>
        <w:tc>
          <w:tcPr>
            <w:tcW w:w="500" w:type="dxa"/>
            <w:tcBorders/>
            <w:shd w:fill="CCEEFF" w:val="clear"/>
            <w:vAlign w:val="center"/>
          </w:tcPr>
          <w:p>
            <w:pPr>
              <w:pStyle w:val="TableContents"/>
              <w:bidi w:val="0"/>
              <w:spacing w:before="0" w:after="283"/>
              <w:jc w:val="center"/>
              <w:rPr>
                <w:sz w:val="20"/>
              </w:rPr>
            </w:pPr>
            <w:r>
              <w:rPr>
                <w:sz w:val="20"/>
              </w:rPr>
              <w:t>F-6</w:t>
            </w:r>
          </w:p>
        </w:tc>
      </w:tr>
    </w:tbl>
    <w:p>
      <w:pPr>
        <w:pStyle w:val="TextBody"/>
        <w:bidi w:val="0"/>
        <w:jc w:val="both"/>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F-1</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i w:val="false"/>
          <w:caps w:val="false"/>
          <w:smallCaps w:val="false"/>
          <w:sz w:val="20"/>
        </w:rPr>
      </w:pPr>
      <w:bookmarkStart w:id="13" w:name="a_001"/>
      <w:bookmarkEnd w:id="13"/>
      <w:r>
        <w:rPr>
          <w:rFonts w:ascii="Times New Roman;Times;Serif" w:hAnsi="Times New Roman;Times;Serif"/>
          <w:b/>
          <w:i w:val="false"/>
          <w:caps w:val="false"/>
          <w:smallCaps w:val="false"/>
          <w:sz w:val="20"/>
        </w:rPr>
        <w:t>CONDENSED CONSOLIDATED BALANCE SHEETS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for numbers of shares data)</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 w:name="xdx_30E_111_ztlFsHGLoT88"/>
      <w:bookmarkStart w:id="15" w:name="xdx_30E_111_ztlFsHGLoT88"/>
      <w:bookmarkEnd w:id="15"/>
    </w:p>
    <w:tbl>
      <w:tblPr>
        <w:tblW w:w="10205" w:type="dxa"/>
        <w:jc w:val="left"/>
        <w:tblInd w:w="0" w:type="dxa"/>
        <w:tblLayout w:type="fixed"/>
        <w:tblCellMar>
          <w:top w:w="0" w:type="dxa"/>
          <w:left w:w="0" w:type="dxa"/>
          <w:bottom w:w="0" w:type="dxa"/>
          <w:right w:w="0" w:type="dxa"/>
        </w:tblCellMar>
      </w:tblPr>
      <w:tblGrid>
        <w:gridCol w:w="7303"/>
        <w:gridCol w:w="60"/>
        <w:gridCol w:w="69"/>
        <w:gridCol w:w="1276"/>
        <w:gridCol w:w="109"/>
        <w:gridCol w:w="60"/>
        <w:gridCol w:w="64"/>
        <w:gridCol w:w="1180"/>
        <w:gridCol w:w="84"/>
      </w:tblGrid>
      <w:tr>
        <w:trPr/>
        <w:tc>
          <w:tcPr>
            <w:tcW w:w="7303" w:type="dxa"/>
            <w:tcBorders/>
            <w:shd w:fill="FFFFFF" w:val="clear"/>
            <w:vAlign w:val="center"/>
          </w:tcPr>
          <w:p>
            <w:pPr>
              <w:pStyle w:val="TableContents"/>
              <w:bidi w:val="0"/>
              <w:spacing w:before="0" w:after="283"/>
              <w:ind w:left="0" w:right="0" w:hanging="2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16" w:name="xdx_490_20251231_zX1P5TLhlCdh"/>
            <w:bookmarkEnd w:id="16"/>
          </w:p>
        </w:tc>
        <w:tc>
          <w:tcPr>
            <w:tcW w:w="1276"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7" w:name="xdx_49B_20260630_zQrLtAcKQaZ9"/>
            <w:bookmarkEnd w:id="17"/>
          </w:p>
        </w:tc>
        <w:tc>
          <w:tcPr>
            <w:tcW w:w="118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7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4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7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32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pPr>
            <w:r>
              <w:rPr>
                <w:b/>
              </w:rPr>
              <w:t>June 30,</w:t>
            </w:r>
            <w:r>
              <w:rPr/>
              <w:t xml:space="preserve">   </w:t>
            </w:r>
            <w:r>
              <w:rPr>
                <w:b/>
              </w:rPr>
              <w:t>2026</w:t>
            </w:r>
          </w:p>
        </w:tc>
      </w:tr>
      <w:tr>
        <w:trPr/>
        <w:tc>
          <w:tcPr>
            <w:tcW w:w="7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4"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8" w:type="dxa"/>
            <w:gridSpan w:val="3"/>
            <w:tcBorders/>
            <w:vAlign w:val="center"/>
          </w:tcPr>
          <w:p>
            <w:pPr>
              <w:pStyle w:val="TableContents"/>
              <w:bidi w:val="0"/>
              <w:spacing w:before="0" w:after="283"/>
              <w:ind w:left="0" w:right="0" w:hanging="200"/>
              <w:jc w:val="center"/>
              <w:rPr>
                <w:b/>
              </w:rPr>
            </w:pPr>
            <w:r>
              <w:rPr>
                <w:b/>
              </w:rPr>
              <w:t>(Unaudited)</w:t>
            </w:r>
            <w:bookmarkStart w:id="18" w:name="xdx_407_eus-gaap--AssetsAbstract_iB_zAjC"/>
            <w:bookmarkEnd w:id="18"/>
          </w:p>
        </w:tc>
      </w:tr>
      <w:tr>
        <w:trPr/>
        <w:tc>
          <w:tcPr>
            <w:tcW w:w="7303"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200"/>
              <w:jc w:val="left"/>
              <w:rPr/>
            </w:pPr>
            <w:r>
              <w:rPr/>
              <w:t> </w:t>
            </w:r>
            <w:bookmarkStart w:id="19" w:name="xdx_402_eus-gaap--AssetsCurrentAbstract_"/>
            <w:bookmarkEnd w:id="19"/>
          </w:p>
        </w:tc>
      </w:tr>
      <w:tr>
        <w:trPr/>
        <w:tc>
          <w:tcPr>
            <w:tcW w:w="7303"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200"/>
              <w:jc w:val="left"/>
              <w:rPr/>
            </w:pPr>
            <w:r>
              <w:rPr/>
              <w:t> </w:t>
            </w:r>
            <w:bookmarkStart w:id="20" w:name="xdx_404_eus-gaap--CashAndCashEquivalents"/>
            <w:bookmarkEnd w:id="20"/>
          </w:p>
        </w:tc>
      </w:tr>
      <w:tr>
        <w:trPr/>
        <w:tc>
          <w:tcPr>
            <w:tcW w:w="730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14,350,959</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16,543,610</w:t>
            </w:r>
          </w:p>
        </w:tc>
        <w:tc>
          <w:tcPr>
            <w:tcW w:w="84" w:type="dxa"/>
            <w:tcBorders/>
            <w:shd w:fill="CCEEFF" w:val="clear"/>
            <w:vAlign w:val="center"/>
          </w:tcPr>
          <w:p>
            <w:pPr>
              <w:pStyle w:val="TableContents"/>
              <w:bidi w:val="0"/>
              <w:spacing w:before="0" w:after="283"/>
              <w:ind w:left="0" w:right="0" w:hanging="200"/>
              <w:jc w:val="left"/>
              <w:rPr/>
            </w:pPr>
            <w:r>
              <w:rPr/>
              <w:t> </w:t>
            </w:r>
            <w:bookmarkStart w:id="21" w:name="xdx_401_eus-gaap--RestrictedCash_i02I_ma"/>
            <w:bookmarkEnd w:id="21"/>
          </w:p>
        </w:tc>
      </w:tr>
      <w:tr>
        <w:trPr/>
        <w:tc>
          <w:tcPr>
            <w:tcW w:w="7303"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2,037,041</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4,484,487</w:t>
            </w:r>
          </w:p>
        </w:tc>
        <w:tc>
          <w:tcPr>
            <w:tcW w:w="84" w:type="dxa"/>
            <w:tcBorders/>
            <w:shd w:fill="FFFFFF" w:val="clear"/>
            <w:vAlign w:val="center"/>
          </w:tcPr>
          <w:p>
            <w:pPr>
              <w:pStyle w:val="TableContents"/>
              <w:bidi w:val="0"/>
              <w:spacing w:before="0" w:after="283"/>
              <w:ind w:left="0" w:right="0" w:hanging="200"/>
              <w:jc w:val="left"/>
              <w:rPr/>
            </w:pPr>
            <w:r>
              <w:rPr/>
              <w:t> </w:t>
            </w:r>
            <w:bookmarkStart w:id="22" w:name="xdx_402_eus-gaap--ShortTermInvestments_i"/>
            <w:bookmarkEnd w:id="22"/>
          </w:p>
        </w:tc>
      </w:tr>
      <w:tr>
        <w:trPr/>
        <w:tc>
          <w:tcPr>
            <w:tcW w:w="7303"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2,234,078</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2,132,706</w:t>
            </w:r>
          </w:p>
        </w:tc>
        <w:tc>
          <w:tcPr>
            <w:tcW w:w="84" w:type="dxa"/>
            <w:tcBorders/>
            <w:shd w:fill="CCEEFF" w:val="clear"/>
            <w:vAlign w:val="center"/>
          </w:tcPr>
          <w:p>
            <w:pPr>
              <w:pStyle w:val="TableContents"/>
              <w:bidi w:val="0"/>
              <w:spacing w:before="0" w:after="283"/>
              <w:ind w:left="0" w:right="0" w:hanging="200"/>
              <w:jc w:val="left"/>
              <w:rPr/>
            </w:pPr>
            <w:r>
              <w:rPr/>
              <w:t> </w:t>
            </w:r>
            <w:bookmarkStart w:id="23" w:name="xdx_40E_eus-gaap--AccountsReceivableNetC"/>
            <w:bookmarkEnd w:id="23"/>
          </w:p>
        </w:tc>
      </w:tr>
      <w:tr>
        <w:trPr/>
        <w:tc>
          <w:tcPr>
            <w:tcW w:w="7303"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15,974,676</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15,644,701</w:t>
            </w:r>
          </w:p>
        </w:tc>
        <w:tc>
          <w:tcPr>
            <w:tcW w:w="84" w:type="dxa"/>
            <w:tcBorders/>
            <w:shd w:fill="FFFFFF" w:val="clear"/>
            <w:vAlign w:val="center"/>
          </w:tcPr>
          <w:p>
            <w:pPr>
              <w:pStyle w:val="TableContents"/>
              <w:bidi w:val="0"/>
              <w:spacing w:before="0" w:after="283"/>
              <w:ind w:left="0" w:right="0" w:hanging="200"/>
              <w:jc w:val="left"/>
              <w:rPr/>
            </w:pPr>
            <w:r>
              <w:rPr/>
              <w:t> </w:t>
            </w:r>
            <w:bookmarkStart w:id="24" w:name="xdx_406_ecustom--AccountsReceivabledueFr"/>
            <w:bookmarkEnd w:id="24"/>
          </w:p>
        </w:tc>
      </w:tr>
      <w:tr>
        <w:trPr/>
        <w:tc>
          <w:tcPr>
            <w:tcW w:w="7303" w:type="dxa"/>
            <w:tcBorders/>
            <w:shd w:fill="CCEEFF" w:val="clear"/>
            <w:vAlign w:val="center"/>
          </w:tcPr>
          <w:p>
            <w:pPr>
              <w:pStyle w:val="TableContents"/>
              <w:bidi w:val="0"/>
              <w:spacing w:before="0" w:after="283"/>
              <w:jc w:val="left"/>
              <w:rPr/>
            </w:pPr>
            <w:r>
              <w:rPr/>
              <w:t>Accounts receivable-due from a related party</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11,227,799</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8,498,381</w:t>
            </w:r>
          </w:p>
        </w:tc>
        <w:tc>
          <w:tcPr>
            <w:tcW w:w="84" w:type="dxa"/>
            <w:tcBorders/>
            <w:shd w:fill="CCEEFF" w:val="clear"/>
            <w:vAlign w:val="center"/>
          </w:tcPr>
          <w:p>
            <w:pPr>
              <w:pStyle w:val="TableContents"/>
              <w:bidi w:val="0"/>
              <w:spacing w:before="0" w:after="283"/>
              <w:ind w:left="0" w:right="0" w:hanging="200"/>
              <w:jc w:val="left"/>
              <w:rPr/>
            </w:pPr>
            <w:r>
              <w:rPr/>
              <w:t> </w:t>
            </w:r>
            <w:bookmarkStart w:id="25" w:name="xdx_40A_eus-gaap--InventoryNet_i02I_maAC"/>
            <w:bookmarkEnd w:id="25"/>
          </w:p>
        </w:tc>
      </w:tr>
      <w:tr>
        <w:trPr/>
        <w:tc>
          <w:tcPr>
            <w:tcW w:w="7303"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12,143,316</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14,245,898</w:t>
            </w:r>
          </w:p>
        </w:tc>
        <w:tc>
          <w:tcPr>
            <w:tcW w:w="84" w:type="dxa"/>
            <w:tcBorders/>
            <w:shd w:fill="FFFFFF" w:val="clear"/>
            <w:vAlign w:val="center"/>
          </w:tcPr>
          <w:p>
            <w:pPr>
              <w:pStyle w:val="TableContents"/>
              <w:bidi w:val="0"/>
              <w:spacing w:before="0" w:after="283"/>
              <w:ind w:left="0" w:right="0" w:hanging="200"/>
              <w:jc w:val="left"/>
              <w:rPr/>
            </w:pPr>
            <w:r>
              <w:rPr/>
              <w:t> </w:t>
            </w:r>
            <w:bookmarkStart w:id="26" w:name="xdx_407_eus-gaap--PrepaidExpenseAndOther"/>
            <w:bookmarkEnd w:id="26"/>
          </w:p>
        </w:tc>
      </w:tr>
      <w:tr>
        <w:trPr/>
        <w:tc>
          <w:tcPr>
            <w:tcW w:w="7303" w:type="dxa"/>
            <w:tcBorders/>
            <w:shd w:fill="CCEEFF" w:val="clear"/>
            <w:vAlign w:val="center"/>
          </w:tcPr>
          <w:p>
            <w:pPr>
              <w:pStyle w:val="TableContents"/>
              <w:bidi w:val="0"/>
              <w:spacing w:before="0" w:after="283"/>
              <w:jc w:val="left"/>
              <w:rPr/>
            </w:pPr>
            <w:r>
              <w:rPr/>
              <w:t>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964,194</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4,379,431</w:t>
            </w:r>
          </w:p>
        </w:tc>
        <w:tc>
          <w:tcPr>
            <w:tcW w:w="84" w:type="dxa"/>
            <w:tcBorders/>
            <w:shd w:fill="CCEEFF" w:val="clear"/>
            <w:vAlign w:val="center"/>
          </w:tcPr>
          <w:p>
            <w:pPr>
              <w:pStyle w:val="TableContents"/>
              <w:bidi w:val="0"/>
              <w:spacing w:before="0" w:after="283"/>
              <w:ind w:left="0" w:right="0" w:hanging="200"/>
              <w:jc w:val="left"/>
              <w:rPr/>
            </w:pPr>
            <w:r>
              <w:rPr/>
              <w:t> </w:t>
            </w:r>
            <w:bookmarkStart w:id="27" w:name="xdx_409_ecustom--OtherReceivablesdueFrom"/>
            <w:bookmarkEnd w:id="27"/>
          </w:p>
        </w:tc>
      </w:tr>
      <w:tr>
        <w:trPr/>
        <w:tc>
          <w:tcPr>
            <w:tcW w:w="7303" w:type="dxa"/>
            <w:tcBorders/>
            <w:shd w:fill="FFFFFF" w:val="clear"/>
            <w:vAlign w:val="center"/>
          </w:tcPr>
          <w:p>
            <w:pPr>
              <w:pStyle w:val="TableContents"/>
              <w:bidi w:val="0"/>
              <w:spacing w:before="0" w:after="283"/>
              <w:jc w:val="left"/>
              <w:rPr/>
            </w:pPr>
            <w:r>
              <w:rPr/>
              <w:t>Other receivables-due from related parties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598,467</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pPr>
            <w:r>
              <w:rPr/>
              <w:t>3,713</w:t>
            </w:r>
          </w:p>
        </w:tc>
        <w:tc>
          <w:tcPr>
            <w:tcW w:w="84" w:type="dxa"/>
            <w:tcBorders/>
            <w:shd w:fill="FFFFFF" w:val="clear"/>
            <w:vAlign w:val="center"/>
          </w:tcPr>
          <w:p>
            <w:pPr>
              <w:pStyle w:val="TableContents"/>
              <w:bidi w:val="0"/>
              <w:spacing w:before="0" w:after="283"/>
              <w:ind w:left="0" w:right="0" w:hanging="200"/>
              <w:jc w:val="left"/>
              <w:rPr/>
            </w:pPr>
            <w:r>
              <w:rPr/>
              <w:t> </w:t>
            </w:r>
            <w:bookmarkStart w:id="28" w:name="xdx_40F_eus-gaap--AssetsCurrent_i01TI_mt"/>
            <w:bookmarkEnd w:id="28"/>
          </w:p>
        </w:tc>
      </w:tr>
      <w:tr>
        <w:trPr/>
        <w:tc>
          <w:tcPr>
            <w:tcW w:w="7303"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59,530,530</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65,932,927</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7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200"/>
              <w:jc w:val="left"/>
              <w:rPr/>
            </w:pPr>
            <w:r>
              <w:rPr/>
              <w:t> </w:t>
            </w:r>
            <w:bookmarkStart w:id="29" w:name="xdx_40B_eus-gaap--AssetsNoncurrentAbstra"/>
            <w:bookmarkEnd w:id="29"/>
          </w:p>
        </w:tc>
      </w:tr>
      <w:tr>
        <w:trPr/>
        <w:tc>
          <w:tcPr>
            <w:tcW w:w="7303"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200"/>
              <w:jc w:val="left"/>
              <w:rPr/>
            </w:pPr>
            <w:r>
              <w:rPr/>
              <w:t> </w:t>
            </w:r>
            <w:bookmarkStart w:id="30" w:name="xdx_40B_eus-gaap--PropertyPlantAndEquipm"/>
            <w:bookmarkEnd w:id="30"/>
          </w:p>
        </w:tc>
      </w:tr>
      <w:tr>
        <w:trPr/>
        <w:tc>
          <w:tcPr>
            <w:tcW w:w="7303"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12,271,875</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13,098,045</w:t>
            </w:r>
          </w:p>
        </w:tc>
        <w:tc>
          <w:tcPr>
            <w:tcW w:w="84" w:type="dxa"/>
            <w:tcBorders/>
            <w:shd w:fill="FFFFFF" w:val="clear"/>
            <w:vAlign w:val="center"/>
          </w:tcPr>
          <w:p>
            <w:pPr>
              <w:pStyle w:val="TableContents"/>
              <w:bidi w:val="0"/>
              <w:spacing w:before="0" w:after="283"/>
              <w:ind w:left="0" w:right="0" w:hanging="200"/>
              <w:jc w:val="left"/>
              <w:rPr/>
            </w:pPr>
            <w:r>
              <w:rPr/>
              <w:t> </w:t>
            </w:r>
            <w:bookmarkStart w:id="31" w:name="xdx_40C_eus-gaap--FiniteLivedIntangibleA"/>
            <w:bookmarkEnd w:id="31"/>
          </w:p>
        </w:tc>
      </w:tr>
      <w:tr>
        <w:trPr/>
        <w:tc>
          <w:tcPr>
            <w:tcW w:w="7303"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97,433</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144,361</w:t>
            </w:r>
          </w:p>
        </w:tc>
        <w:tc>
          <w:tcPr>
            <w:tcW w:w="84" w:type="dxa"/>
            <w:tcBorders/>
            <w:shd w:fill="CCEEFF" w:val="clear"/>
            <w:vAlign w:val="center"/>
          </w:tcPr>
          <w:p>
            <w:pPr>
              <w:pStyle w:val="TableContents"/>
              <w:bidi w:val="0"/>
              <w:spacing w:before="0" w:after="283"/>
              <w:ind w:left="0" w:right="0" w:hanging="200"/>
              <w:jc w:val="left"/>
              <w:rPr/>
            </w:pPr>
            <w:r>
              <w:rPr/>
              <w:t> </w:t>
            </w:r>
            <w:bookmarkStart w:id="32" w:name="xdx_40F_eus-gaap--OperatingLeaseRightOfU"/>
            <w:bookmarkEnd w:id="32"/>
          </w:p>
        </w:tc>
      </w:tr>
      <w:tr>
        <w:trPr/>
        <w:tc>
          <w:tcPr>
            <w:tcW w:w="7303"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3,574,775</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3,309,694</w:t>
            </w:r>
          </w:p>
        </w:tc>
        <w:tc>
          <w:tcPr>
            <w:tcW w:w="84" w:type="dxa"/>
            <w:tcBorders/>
            <w:shd w:fill="FFFFFF" w:val="clear"/>
            <w:vAlign w:val="center"/>
          </w:tcPr>
          <w:p>
            <w:pPr>
              <w:pStyle w:val="TableContents"/>
              <w:bidi w:val="0"/>
              <w:spacing w:before="0" w:after="283"/>
              <w:ind w:left="0" w:right="0" w:hanging="200"/>
              <w:jc w:val="left"/>
              <w:rPr/>
            </w:pPr>
            <w:r>
              <w:rPr/>
              <w:t> </w:t>
            </w:r>
            <w:bookmarkStart w:id="33" w:name="xdx_40E_eus-gaap--LongTermInvestments_i0"/>
            <w:bookmarkEnd w:id="33"/>
          </w:p>
        </w:tc>
      </w:tr>
      <w:tr>
        <w:trPr/>
        <w:tc>
          <w:tcPr>
            <w:tcW w:w="7303" w:type="dxa"/>
            <w:tcBorders/>
            <w:shd w:fill="CCEEFF" w:val="clear"/>
            <w:vAlign w:val="center"/>
          </w:tcPr>
          <w:p>
            <w:pPr>
              <w:pStyle w:val="TableContents"/>
              <w:bidi w:val="0"/>
              <w:spacing w:before="0" w:after="283"/>
              <w:jc w:val="left"/>
              <w:rPr/>
            </w:pPr>
            <w:r>
              <w:rPr/>
              <w:t>Long-term investment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3,706,080</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1,786,703</w:t>
            </w:r>
          </w:p>
        </w:tc>
        <w:tc>
          <w:tcPr>
            <w:tcW w:w="84" w:type="dxa"/>
            <w:tcBorders/>
            <w:shd w:fill="CCEEFF" w:val="clear"/>
            <w:vAlign w:val="center"/>
          </w:tcPr>
          <w:p>
            <w:pPr>
              <w:pStyle w:val="TableContents"/>
              <w:bidi w:val="0"/>
              <w:spacing w:before="0" w:after="283"/>
              <w:ind w:left="0" w:right="0" w:hanging="200"/>
              <w:jc w:val="left"/>
              <w:rPr/>
            </w:pPr>
            <w:r>
              <w:rPr/>
              <w:t> </w:t>
            </w:r>
            <w:bookmarkStart w:id="34" w:name="xdx_40A_ecustom--DeferredTaxAssetsNets_i"/>
            <w:bookmarkEnd w:id="34"/>
          </w:p>
        </w:tc>
      </w:tr>
      <w:tr>
        <w:trPr/>
        <w:tc>
          <w:tcPr>
            <w:tcW w:w="7303" w:type="dxa"/>
            <w:tcBorders/>
            <w:shd w:fill="FFFFFF" w:val="clear"/>
            <w:vAlign w:val="center"/>
          </w:tcPr>
          <w:p>
            <w:pPr>
              <w:pStyle w:val="TableContents"/>
              <w:bidi w:val="0"/>
              <w:spacing w:before="0" w:after="283"/>
              <w:jc w:val="left"/>
              <w:rPr/>
            </w:pPr>
            <w:r>
              <w:rPr/>
              <w:t>Deferred tax assets, net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95,926</w:t>
            </w:r>
          </w:p>
        </w:tc>
        <w:tc>
          <w:tcPr>
            <w:tcW w:w="84" w:type="dxa"/>
            <w:tcBorders/>
            <w:shd w:fill="FFFFFF" w:val="clear"/>
            <w:vAlign w:val="center"/>
          </w:tcPr>
          <w:p>
            <w:pPr>
              <w:pStyle w:val="TableContents"/>
              <w:bidi w:val="0"/>
              <w:spacing w:before="0" w:after="283"/>
              <w:ind w:left="0" w:right="0" w:hanging="200"/>
              <w:jc w:val="left"/>
              <w:rPr/>
            </w:pPr>
            <w:r>
              <w:rPr/>
              <w:t> </w:t>
            </w:r>
            <w:bookmarkStart w:id="35" w:name="xdx_401_eus-gaap--OtherAssetsNoncurrent_"/>
            <w:bookmarkEnd w:id="35"/>
          </w:p>
        </w:tc>
      </w:tr>
      <w:tr>
        <w:trPr/>
        <w:tc>
          <w:tcPr>
            <w:tcW w:w="7303"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pPr>
            <w:r>
              <w:rPr/>
              <w:t>347,569</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pPr>
            <w:r>
              <w:rPr/>
              <w:t>630,674</w:t>
            </w:r>
          </w:p>
        </w:tc>
        <w:tc>
          <w:tcPr>
            <w:tcW w:w="84" w:type="dxa"/>
            <w:tcBorders/>
            <w:shd w:fill="CCEEFF" w:val="clear"/>
            <w:vAlign w:val="center"/>
          </w:tcPr>
          <w:p>
            <w:pPr>
              <w:pStyle w:val="TableContents"/>
              <w:bidi w:val="0"/>
              <w:spacing w:before="0" w:after="283"/>
              <w:ind w:left="0" w:right="0" w:hanging="200"/>
              <w:jc w:val="left"/>
              <w:rPr/>
            </w:pPr>
            <w:r>
              <w:rPr/>
              <w:t> </w:t>
            </w:r>
            <w:bookmarkStart w:id="36" w:name="xdx_40A_eus-gaap--AssetsNoncurrent_i01TI"/>
            <w:bookmarkEnd w:id="36"/>
          </w:p>
        </w:tc>
      </w:tr>
      <w:tr>
        <w:trPr/>
        <w:tc>
          <w:tcPr>
            <w:tcW w:w="7303"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19,997,732</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19,065,403</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7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200"/>
              <w:jc w:val="left"/>
              <w:rPr/>
            </w:pPr>
            <w:r>
              <w:rPr/>
              <w:t> </w:t>
            </w:r>
            <w:bookmarkStart w:id="37" w:name="xdx_40C_eus-gaap--Assets_iTI_mtAznFg_zIy"/>
            <w:bookmarkEnd w:id="37"/>
          </w:p>
        </w:tc>
      </w:tr>
      <w:tr>
        <w:trPr/>
        <w:tc>
          <w:tcPr>
            <w:tcW w:w="7303"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79,528,262</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84,998,330</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7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200"/>
              <w:jc w:val="left"/>
              <w:rPr/>
            </w:pPr>
            <w:r>
              <w:rPr/>
              <w:t> </w:t>
            </w:r>
            <w:bookmarkStart w:id="38" w:name="xdx_40C_eus-gaap--LiabilitiesAndStockhol"/>
            <w:bookmarkEnd w:id="38"/>
          </w:p>
        </w:tc>
      </w:tr>
      <w:tr>
        <w:trPr/>
        <w:tc>
          <w:tcPr>
            <w:tcW w:w="7303"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200"/>
              <w:jc w:val="left"/>
              <w:rPr/>
            </w:pPr>
            <w:r>
              <w:rPr/>
              <w:t> </w:t>
            </w:r>
            <w:bookmarkStart w:id="39" w:name="xdx_40A_eus-gaap--LiabilitiesCurrentAbst"/>
            <w:bookmarkEnd w:id="39"/>
          </w:p>
        </w:tc>
      </w:tr>
      <w:tr>
        <w:trPr/>
        <w:tc>
          <w:tcPr>
            <w:tcW w:w="7303"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200"/>
              <w:jc w:val="left"/>
              <w:rPr/>
            </w:pPr>
            <w:r>
              <w:rPr/>
              <w:t> </w:t>
            </w:r>
            <w:bookmarkStart w:id="40" w:name="xdx_407_eus-gaap--AccountsPayableCurrent"/>
            <w:bookmarkEnd w:id="40"/>
          </w:p>
        </w:tc>
      </w:tr>
      <w:tr>
        <w:trPr/>
        <w:tc>
          <w:tcPr>
            <w:tcW w:w="730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18,233,194</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15,369,397</w:t>
            </w:r>
          </w:p>
        </w:tc>
        <w:tc>
          <w:tcPr>
            <w:tcW w:w="84" w:type="dxa"/>
            <w:tcBorders/>
            <w:shd w:fill="FFFFFF" w:val="clear"/>
            <w:vAlign w:val="center"/>
          </w:tcPr>
          <w:p>
            <w:pPr>
              <w:pStyle w:val="TableContents"/>
              <w:bidi w:val="0"/>
              <w:spacing w:before="0" w:after="283"/>
              <w:ind w:left="0" w:right="0" w:hanging="200"/>
              <w:jc w:val="left"/>
              <w:rPr/>
            </w:pPr>
            <w:r>
              <w:rPr/>
              <w:t> </w:t>
            </w:r>
            <w:bookmarkStart w:id="41" w:name="xdx_40E_eus-gaap--NotesPayable_i02I_maLC"/>
            <w:bookmarkEnd w:id="41"/>
          </w:p>
        </w:tc>
      </w:tr>
      <w:tr>
        <w:trPr/>
        <w:tc>
          <w:tcPr>
            <w:tcW w:w="7303"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3,803,926</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3,781,226</w:t>
            </w:r>
          </w:p>
        </w:tc>
        <w:tc>
          <w:tcPr>
            <w:tcW w:w="84" w:type="dxa"/>
            <w:tcBorders/>
            <w:shd w:fill="CCEEFF" w:val="clear"/>
            <w:vAlign w:val="center"/>
          </w:tcPr>
          <w:p>
            <w:pPr>
              <w:pStyle w:val="TableContents"/>
              <w:bidi w:val="0"/>
              <w:spacing w:before="0" w:after="283"/>
              <w:ind w:left="0" w:right="0" w:hanging="200"/>
              <w:jc w:val="left"/>
              <w:rPr/>
            </w:pPr>
            <w:r>
              <w:rPr/>
              <w:t> </w:t>
            </w:r>
            <w:bookmarkStart w:id="42" w:name="xdx_406_eus-gaap--TaxesPayableCurrent_i0"/>
            <w:bookmarkEnd w:id="42"/>
          </w:p>
        </w:tc>
      </w:tr>
      <w:tr>
        <w:trPr/>
        <w:tc>
          <w:tcPr>
            <w:tcW w:w="7303"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3,431,262</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3,906,101</w:t>
            </w:r>
          </w:p>
        </w:tc>
        <w:tc>
          <w:tcPr>
            <w:tcW w:w="84" w:type="dxa"/>
            <w:tcBorders/>
            <w:shd w:fill="FFFFFF" w:val="clear"/>
            <w:vAlign w:val="center"/>
          </w:tcPr>
          <w:p>
            <w:pPr>
              <w:pStyle w:val="TableContents"/>
              <w:bidi w:val="0"/>
              <w:spacing w:before="0" w:after="283"/>
              <w:ind w:left="0" w:right="0" w:hanging="200"/>
              <w:jc w:val="left"/>
              <w:rPr/>
            </w:pPr>
            <w:r>
              <w:rPr/>
              <w:t> </w:t>
            </w:r>
            <w:bookmarkStart w:id="43" w:name="xdx_408_eus-gaap--OtherAccruedLiabilitie"/>
            <w:bookmarkEnd w:id="43"/>
          </w:p>
        </w:tc>
      </w:tr>
      <w:tr>
        <w:trPr/>
        <w:tc>
          <w:tcPr>
            <w:tcW w:w="7303"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3,583,457</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3,650,004</w:t>
            </w:r>
          </w:p>
        </w:tc>
        <w:tc>
          <w:tcPr>
            <w:tcW w:w="84" w:type="dxa"/>
            <w:tcBorders/>
            <w:shd w:fill="CCEEFF" w:val="clear"/>
            <w:vAlign w:val="center"/>
          </w:tcPr>
          <w:p>
            <w:pPr>
              <w:pStyle w:val="TableContents"/>
              <w:bidi w:val="0"/>
              <w:spacing w:before="0" w:after="283"/>
              <w:ind w:left="0" w:right="0" w:hanging="200"/>
              <w:jc w:val="left"/>
              <w:rPr/>
            </w:pPr>
            <w:r>
              <w:rPr/>
              <w:t> </w:t>
            </w:r>
            <w:bookmarkStart w:id="44" w:name="xdx_40B_ecustom--OtherPayablesdueToRelat"/>
            <w:bookmarkEnd w:id="44"/>
          </w:p>
        </w:tc>
      </w:tr>
      <w:tr>
        <w:trPr/>
        <w:tc>
          <w:tcPr>
            <w:tcW w:w="7303" w:type="dxa"/>
            <w:tcBorders/>
            <w:shd w:fill="FFFFFF" w:val="clear"/>
            <w:vAlign w:val="center"/>
          </w:tcPr>
          <w:p>
            <w:pPr>
              <w:pStyle w:val="TableContents"/>
              <w:bidi w:val="0"/>
              <w:spacing w:before="0" w:after="283"/>
              <w:jc w:val="left"/>
              <w:rPr/>
            </w:pPr>
            <w:r>
              <w:rPr/>
              <w:t>Other payables-due to related parties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2,322,224</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2,659,954</w:t>
            </w:r>
          </w:p>
        </w:tc>
        <w:tc>
          <w:tcPr>
            <w:tcW w:w="84" w:type="dxa"/>
            <w:tcBorders/>
            <w:shd w:fill="FFFFFF" w:val="clear"/>
            <w:vAlign w:val="center"/>
          </w:tcPr>
          <w:p>
            <w:pPr>
              <w:pStyle w:val="TableContents"/>
              <w:bidi w:val="0"/>
              <w:spacing w:before="0" w:after="283"/>
              <w:ind w:left="0" w:right="0" w:hanging="200"/>
              <w:jc w:val="left"/>
              <w:rPr/>
            </w:pPr>
            <w:r>
              <w:rPr/>
              <w:t> </w:t>
            </w:r>
            <w:bookmarkStart w:id="45" w:name="xdx_40B_eus-gaap--OperatingLeaseLiabilit"/>
            <w:bookmarkEnd w:id="45"/>
          </w:p>
        </w:tc>
      </w:tr>
      <w:tr>
        <w:trPr/>
        <w:tc>
          <w:tcPr>
            <w:tcW w:w="7303"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pPr>
            <w:r>
              <w:rPr/>
              <w:t>726,152</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pPr>
            <w:r>
              <w:rPr/>
              <w:t>726,186</w:t>
            </w:r>
          </w:p>
        </w:tc>
        <w:tc>
          <w:tcPr>
            <w:tcW w:w="84" w:type="dxa"/>
            <w:tcBorders/>
            <w:shd w:fill="CCEEFF" w:val="clear"/>
            <w:vAlign w:val="center"/>
          </w:tcPr>
          <w:p>
            <w:pPr>
              <w:pStyle w:val="TableContents"/>
              <w:bidi w:val="0"/>
              <w:spacing w:before="0" w:after="283"/>
              <w:ind w:left="0" w:right="0" w:hanging="200"/>
              <w:jc w:val="left"/>
              <w:rPr/>
            </w:pPr>
            <w:r>
              <w:rPr/>
              <w:t> </w:t>
            </w:r>
            <w:bookmarkStart w:id="46" w:name="xdx_402_eus-gaap--LiabilitiesCurrent_i01"/>
            <w:bookmarkEnd w:id="46"/>
          </w:p>
        </w:tc>
      </w:tr>
      <w:tr>
        <w:trPr/>
        <w:tc>
          <w:tcPr>
            <w:tcW w:w="7303"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32,100,215</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30,092,868</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7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200"/>
              <w:jc w:val="left"/>
              <w:rPr/>
            </w:pPr>
            <w:r>
              <w:rPr/>
              <w:t> </w:t>
            </w:r>
            <w:bookmarkStart w:id="47" w:name="xdx_402_eus-gaap--LiabilitiesNoncurrentA"/>
            <w:bookmarkEnd w:id="47"/>
          </w:p>
        </w:tc>
      </w:tr>
      <w:tr>
        <w:trPr/>
        <w:tc>
          <w:tcPr>
            <w:tcW w:w="7303"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200"/>
              <w:jc w:val="left"/>
              <w:rPr/>
            </w:pPr>
            <w:r>
              <w:rPr/>
              <w:t> </w:t>
            </w:r>
            <w:bookmarkStart w:id="48" w:name="xdx_40E_eus-gaap--OperatingLeaseLiabilit"/>
            <w:bookmarkEnd w:id="48"/>
          </w:p>
        </w:tc>
      </w:tr>
      <w:tr>
        <w:trPr/>
        <w:tc>
          <w:tcPr>
            <w:tcW w:w="7303"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2,876,209</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2,592,046</w:t>
            </w:r>
          </w:p>
        </w:tc>
        <w:tc>
          <w:tcPr>
            <w:tcW w:w="84" w:type="dxa"/>
            <w:tcBorders/>
            <w:shd w:fill="CCEEFF" w:val="clear"/>
            <w:vAlign w:val="center"/>
          </w:tcPr>
          <w:p>
            <w:pPr>
              <w:pStyle w:val="TableContents"/>
              <w:bidi w:val="0"/>
              <w:spacing w:before="0" w:after="283"/>
              <w:ind w:left="0" w:right="0" w:hanging="200"/>
              <w:jc w:val="left"/>
              <w:rPr/>
            </w:pPr>
            <w:r>
              <w:rPr/>
              <w:t> </w:t>
            </w:r>
            <w:bookmarkStart w:id="49" w:name="xdx_403_ecustom--DeferredTaxLiabilitie_i"/>
            <w:bookmarkEnd w:id="49"/>
          </w:p>
        </w:tc>
      </w:tr>
      <w:tr>
        <w:trPr/>
        <w:tc>
          <w:tcPr>
            <w:tcW w:w="7303"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957,610</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pPr>
            <w:r>
              <w:rPr/>
              <w:t>658,971</w:t>
            </w:r>
          </w:p>
        </w:tc>
        <w:tc>
          <w:tcPr>
            <w:tcW w:w="84" w:type="dxa"/>
            <w:tcBorders/>
            <w:shd w:fill="FFFFFF" w:val="clear"/>
            <w:vAlign w:val="center"/>
          </w:tcPr>
          <w:p>
            <w:pPr>
              <w:pStyle w:val="TableContents"/>
              <w:bidi w:val="0"/>
              <w:spacing w:before="0" w:after="283"/>
              <w:ind w:left="0" w:right="0" w:hanging="200"/>
              <w:jc w:val="left"/>
              <w:rPr/>
            </w:pPr>
            <w:r>
              <w:rPr/>
              <w:t> </w:t>
            </w:r>
            <w:bookmarkStart w:id="50" w:name="xdx_40D_eus-gaap--LiabilitiesNoncurrent_"/>
            <w:bookmarkEnd w:id="50"/>
          </w:p>
        </w:tc>
      </w:tr>
      <w:tr>
        <w:trPr/>
        <w:tc>
          <w:tcPr>
            <w:tcW w:w="7303"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3,833,819</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3,251,017</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7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200"/>
              <w:jc w:val="left"/>
              <w:rPr/>
            </w:pPr>
            <w:r>
              <w:rPr/>
              <w:t> </w:t>
            </w:r>
            <w:bookmarkStart w:id="51" w:name="xdx_40E_eus-gaap--Liabilities_iTI_mtLzwj"/>
            <w:bookmarkEnd w:id="51"/>
          </w:p>
        </w:tc>
      </w:tr>
      <w:tr>
        <w:trPr/>
        <w:tc>
          <w:tcPr>
            <w:tcW w:w="7303"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35,934,034</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33,343,885</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7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200"/>
              <w:jc w:val="left"/>
              <w:rPr/>
            </w:pPr>
            <w:r>
              <w:rPr/>
              <w:t> </w:t>
            </w:r>
            <w:bookmarkStart w:id="52" w:name="xdx_40F_eus-gaap--CommitmentsAndContinge"/>
            <w:bookmarkEnd w:id="52"/>
          </w:p>
        </w:tc>
      </w:tr>
      <w:tr>
        <w:trPr/>
        <w:tc>
          <w:tcPr>
            <w:tcW w:w="7303" w:type="dxa"/>
            <w:tcBorders/>
            <w:shd w:fill="CCEEFF" w:val="clear"/>
            <w:vAlign w:val="center"/>
          </w:tcPr>
          <w:p>
            <w:pPr>
              <w:pStyle w:val="TableContents"/>
              <w:bidi w:val="0"/>
              <w:spacing w:before="0" w:after="283"/>
              <w:jc w:val="left"/>
              <w:rPr>
                <w:b/>
              </w:rPr>
            </w:pPr>
            <w:r>
              <w:rPr>
                <w:b/>
              </w:rPr>
              <w:t>Commitments and contingencies (Note 14)</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7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200"/>
              <w:jc w:val="left"/>
              <w:rPr/>
            </w:pPr>
            <w:r>
              <w:rPr/>
              <w:t> </w:t>
            </w:r>
            <w:bookmarkStart w:id="53" w:name="xdx_407_eus-gaap--StockholdersEquityAbst"/>
            <w:bookmarkEnd w:id="53"/>
          </w:p>
        </w:tc>
      </w:tr>
      <w:tr>
        <w:trPr/>
        <w:tc>
          <w:tcPr>
            <w:tcW w:w="7303"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200"/>
              <w:jc w:val="left"/>
              <w:rPr/>
            </w:pPr>
            <w:r>
              <w:rPr/>
              <w:t> </w:t>
            </w:r>
            <w:bookmarkStart w:id="54" w:name="xdx_40E_eus-gaap--CommonStockValue_i01I_"/>
            <w:bookmarkEnd w:id="54"/>
          </w:p>
        </w:tc>
      </w:tr>
      <w:tr>
        <w:trPr/>
        <w:tc>
          <w:tcPr>
            <w:tcW w:w="7303" w:type="dxa"/>
            <w:tcBorders/>
            <w:shd w:fill="FFFFFF" w:val="clear"/>
            <w:vAlign w:val="center"/>
          </w:tcPr>
          <w:p>
            <w:pPr>
              <w:pStyle w:val="TableContents"/>
              <w:bidi w:val="0"/>
              <w:spacing w:before="0" w:after="283"/>
              <w:jc w:val="left"/>
              <w:rPr/>
            </w:pPr>
            <w:r>
              <w:rPr/>
              <w:t>Ordinary share ($</w:t>
            </w:r>
            <w:bookmarkStart w:id="55" w:name="xdx_908_eus-gaap--CommonStockParOrStated"/>
            <w:bookmarkStart w:id="56" w:name="xdx_906_eus-gaap--CommonStockParOrStated"/>
            <w:bookmarkEnd w:id="55"/>
            <w:bookmarkEnd w:id="56"/>
            <w:r>
              <w:rPr/>
              <w:t xml:space="preserve">0.000016666667 par value, </w:t>
            </w:r>
            <w:bookmarkStart w:id="57" w:name="xdx_901_eus-gaap--CommonStockSharesAutho"/>
            <w:bookmarkEnd w:id="57"/>
            <w:r>
              <w:rPr/>
              <w:t xml:space="preserve">3,000,000,000 and </w:t>
            </w:r>
            <w:bookmarkStart w:id="58" w:name="xdx_907_eus-gaap--CommonStockSharesAutho"/>
            <w:bookmarkEnd w:id="58"/>
            <w:r>
              <w:rPr/>
              <w:t xml:space="preserve">0 nil shares authorized, </w:t>
            </w:r>
            <w:bookmarkStart w:id="59" w:name="xdx_90C_eus-gaap--CommonStockSharesOutst"/>
            <w:bookmarkStart w:id="60" w:name="xdx_90A_eus-gaap--CommonStockSharesIssue"/>
            <w:bookmarkEnd w:id="59"/>
            <w:bookmarkEnd w:id="60"/>
            <w:r>
              <w:rPr/>
              <w:t xml:space="preserve">63,822,249 and </w:t>
            </w:r>
            <w:bookmarkStart w:id="61" w:name="xdx_908_eus-gaap--CommonStockSharesIssue"/>
            <w:bookmarkStart w:id="62" w:name="xdx_905_eus-gaap--CommonStockSharesOutst"/>
            <w:bookmarkEnd w:id="61"/>
            <w:bookmarkEnd w:id="62"/>
            <w:r>
              <w:rPr/>
              <w:t>0 nil shares issued and outstanding 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1,063</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7303" w:type="dxa"/>
            <w:tcBorders/>
            <w:shd w:fill="CCEEFF" w:val="clear"/>
            <w:vAlign w:val="center"/>
          </w:tcPr>
          <w:p>
            <w:pPr>
              <w:pStyle w:val="TableContents"/>
              <w:bidi w:val="0"/>
              <w:spacing w:before="0" w:after="283"/>
              <w:jc w:val="left"/>
              <w:rPr/>
            </w:pPr>
            <w:r>
              <w:rPr/>
              <w:t>Class A Ordinary shares ($</w:t>
            </w:r>
            <w:bookmarkStart w:id="63" w:name="xdx_903_eus-gaap--CommonStockParOrStated"/>
            <w:bookmarkStart w:id="64" w:name="xdx_90F_eus-gaap--CommonStockParOrStated"/>
            <w:bookmarkEnd w:id="63"/>
            <w:bookmarkEnd w:id="64"/>
            <w:r>
              <w:rPr/>
              <w:t xml:space="preserve">0.000016666667 par value, </w:t>
            </w:r>
            <w:bookmarkStart w:id="65" w:name="xdx_908_eus-gaap--CommonStockSharesAutho"/>
            <w:bookmarkEnd w:id="65"/>
            <w:r>
              <w:rPr/>
              <w:t xml:space="preserve">0 nil and </w:t>
            </w:r>
            <w:bookmarkStart w:id="66" w:name="xdx_908_eus-gaap--CommonStockSharesAutho"/>
            <w:bookmarkEnd w:id="66"/>
            <w:r>
              <w:rPr/>
              <w:t xml:space="preserve">2,991,000,000 shares authorized, nil </w:t>
            </w:r>
            <w:bookmarkStart w:id="67" w:name="xdx_90E_eus-gaap--CommonStockSharesOutst"/>
            <w:bookmarkStart w:id="68" w:name="xdx_903_eus-gaap--CommonStockSharesIssue"/>
            <w:bookmarkEnd w:id="67"/>
            <w:bookmarkEnd w:id="68"/>
            <w:r>
              <w:rPr/>
              <w:t xml:space="preserve">0 and </w:t>
            </w:r>
            <w:bookmarkStart w:id="69" w:name="xdx_90D_eus-gaap--CommonStockSharesOutst"/>
            <w:bookmarkStart w:id="70" w:name="xdx_908_eus-gaap--CommonStockSharesIssue"/>
            <w:bookmarkEnd w:id="69"/>
            <w:bookmarkEnd w:id="70"/>
            <w:r>
              <w:rPr/>
              <w:t>55,322,249 shares issued and outstanding as of December 31, 2025 and June 30, 2026,   respectively**)</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1" w:name="xdx_98F_eus-gaap--CommonStockValue_iI_c2"/>
            <w:bookmarkEnd w:id="71"/>
          </w:p>
        </w:tc>
        <w:tc>
          <w:tcPr>
            <w:tcW w:w="127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72" w:name="xdx_980_eus-gaap--CommonStockValue_iI_ma"/>
            <w:bookmarkEnd w:id="72"/>
          </w:p>
        </w:tc>
        <w:tc>
          <w:tcPr>
            <w:tcW w:w="1180" w:type="dxa"/>
            <w:tcBorders/>
            <w:shd w:fill="CCEEFF" w:val="clear"/>
            <w:vAlign w:val="center"/>
          </w:tcPr>
          <w:p>
            <w:pPr>
              <w:pStyle w:val="TableContents"/>
              <w:bidi w:val="0"/>
              <w:spacing w:before="0" w:after="283"/>
              <w:jc w:val="right"/>
              <w:rPr/>
            </w:pPr>
            <w:r>
              <w:rPr/>
              <w:t>921</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7303" w:type="dxa"/>
            <w:tcBorders/>
            <w:shd w:fill="FFFFFF" w:val="clear"/>
            <w:vAlign w:val="center"/>
          </w:tcPr>
          <w:p>
            <w:pPr>
              <w:pStyle w:val="TableContents"/>
              <w:bidi w:val="0"/>
              <w:spacing w:before="0" w:after="283"/>
              <w:jc w:val="left"/>
              <w:rPr/>
            </w:pPr>
            <w:r>
              <w:rPr/>
              <w:t>Class B Ordinary shares ($</w:t>
            </w:r>
            <w:bookmarkStart w:id="73" w:name="xdx_90F_eus-gaap--CommonStockParOrStated"/>
            <w:bookmarkStart w:id="74" w:name="xdx_908_eus-gaap--CommonStockParOrStated"/>
            <w:bookmarkEnd w:id="73"/>
            <w:bookmarkEnd w:id="74"/>
            <w:r>
              <w:rPr/>
              <w:t xml:space="preserve">0.000016666667 par value, nil </w:t>
            </w:r>
            <w:bookmarkStart w:id="75" w:name="xdx_906_eus-gaap--CommonStockSharesAutho"/>
            <w:bookmarkEnd w:id="75"/>
            <w:r>
              <w:rPr/>
              <w:t xml:space="preserve">0 and </w:t>
            </w:r>
            <w:bookmarkStart w:id="76" w:name="xdx_904_eus-gaap--CommonStockSharesAutho"/>
            <w:bookmarkEnd w:id="76"/>
            <w:r>
              <w:rPr/>
              <w:t xml:space="preserve">9,000,000 shares authorized, nil </w:t>
            </w:r>
            <w:bookmarkStart w:id="77" w:name="xdx_90A_eus-gaap--CommonStockSharesOutst"/>
            <w:bookmarkStart w:id="78" w:name="xdx_905_eus-gaap--CommonStockSharesIssue"/>
            <w:bookmarkEnd w:id="77"/>
            <w:bookmarkEnd w:id="78"/>
            <w:r>
              <w:rPr/>
              <w:t xml:space="preserve">0 and </w:t>
            </w:r>
            <w:bookmarkStart w:id="79" w:name="xdx_904_eus-gaap--CommonStockSharesOutst"/>
            <w:bookmarkStart w:id="80" w:name="xdx_90F_eus-gaap--CommonStockSharesIssue"/>
            <w:bookmarkEnd w:id="79"/>
            <w:bookmarkEnd w:id="80"/>
            <w:r>
              <w:rPr/>
              <w:t>9,000,000 shares issued and outstanding 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1" w:name="xdx_98C_eus-gaap--CommonStockValue_iI_c2"/>
            <w:bookmarkEnd w:id="81"/>
          </w:p>
        </w:tc>
        <w:tc>
          <w:tcPr>
            <w:tcW w:w="1276"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82" w:name="xdx_989_eus-gaap--CommonStockValue_iI_ma"/>
            <w:bookmarkEnd w:id="82"/>
          </w:p>
        </w:tc>
        <w:tc>
          <w:tcPr>
            <w:tcW w:w="1180" w:type="dxa"/>
            <w:tcBorders/>
            <w:shd w:fill="FFFFFF" w:val="clear"/>
            <w:vAlign w:val="center"/>
          </w:tcPr>
          <w:p>
            <w:pPr>
              <w:pStyle w:val="TableContents"/>
              <w:bidi w:val="0"/>
              <w:spacing w:before="0" w:after="283"/>
              <w:jc w:val="right"/>
              <w:rPr/>
            </w:pPr>
            <w:r>
              <w:rPr/>
              <w:t>150</w:t>
            </w:r>
          </w:p>
        </w:tc>
        <w:tc>
          <w:tcPr>
            <w:tcW w:w="84" w:type="dxa"/>
            <w:tcBorders/>
            <w:shd w:fill="FFFFFF" w:val="clear"/>
            <w:vAlign w:val="center"/>
          </w:tcPr>
          <w:p>
            <w:pPr>
              <w:pStyle w:val="TableContents"/>
              <w:bidi w:val="0"/>
              <w:spacing w:before="0" w:after="283"/>
              <w:ind w:left="0" w:right="0" w:hanging="200"/>
              <w:jc w:val="left"/>
              <w:rPr/>
            </w:pPr>
            <w:r>
              <w:rPr/>
              <w:t> </w:t>
            </w:r>
            <w:bookmarkStart w:id="83" w:name="xdx_40E_eus-gaap--AdditionalPaidInCapita"/>
            <w:bookmarkEnd w:id="83"/>
          </w:p>
        </w:tc>
      </w:tr>
      <w:tr>
        <w:trPr/>
        <w:tc>
          <w:tcPr>
            <w:tcW w:w="7303"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8,977,814</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10,372,982</w:t>
            </w:r>
          </w:p>
        </w:tc>
        <w:tc>
          <w:tcPr>
            <w:tcW w:w="84" w:type="dxa"/>
            <w:tcBorders/>
            <w:shd w:fill="CCEEFF" w:val="clear"/>
            <w:vAlign w:val="center"/>
          </w:tcPr>
          <w:p>
            <w:pPr>
              <w:pStyle w:val="TableContents"/>
              <w:bidi w:val="0"/>
              <w:spacing w:before="0" w:after="283"/>
              <w:ind w:left="0" w:right="0" w:hanging="200"/>
              <w:jc w:val="left"/>
              <w:rPr/>
            </w:pPr>
            <w:r>
              <w:rPr/>
              <w:t> </w:t>
            </w:r>
            <w:bookmarkStart w:id="84" w:name="xdx_403_ecustom--StatutorySurplusReserve"/>
            <w:bookmarkEnd w:id="84"/>
          </w:p>
        </w:tc>
      </w:tr>
      <w:tr>
        <w:trPr/>
        <w:tc>
          <w:tcPr>
            <w:tcW w:w="7303" w:type="dxa"/>
            <w:tcBorders/>
            <w:shd w:fill="FFFFFF" w:val="clear"/>
            <w:vAlign w:val="center"/>
          </w:tcPr>
          <w:p>
            <w:pPr>
              <w:pStyle w:val="TableContents"/>
              <w:bidi w:val="0"/>
              <w:spacing w:before="0" w:after="283"/>
              <w:jc w:val="left"/>
              <w:rPr/>
            </w:pPr>
            <w:r>
              <w:rPr/>
              <w:t>Statutory surplus reserves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2,662,115</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2,662,115</w:t>
            </w:r>
          </w:p>
        </w:tc>
        <w:tc>
          <w:tcPr>
            <w:tcW w:w="84" w:type="dxa"/>
            <w:tcBorders/>
            <w:shd w:fill="FFFFFF" w:val="clear"/>
            <w:vAlign w:val="center"/>
          </w:tcPr>
          <w:p>
            <w:pPr>
              <w:pStyle w:val="TableContents"/>
              <w:bidi w:val="0"/>
              <w:spacing w:before="0" w:after="283"/>
              <w:ind w:left="0" w:right="0" w:hanging="200"/>
              <w:jc w:val="left"/>
              <w:rPr/>
            </w:pPr>
            <w:r>
              <w:rPr/>
              <w:t> </w:t>
            </w:r>
            <w:bookmarkStart w:id="85" w:name="xdx_406_eus-gaap--RetainedEarningsAccumu"/>
            <w:bookmarkEnd w:id="85"/>
          </w:p>
        </w:tc>
      </w:tr>
      <w:tr>
        <w:trPr/>
        <w:tc>
          <w:tcPr>
            <w:tcW w:w="7303"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32,132,905</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37,378,247</w:t>
            </w:r>
          </w:p>
        </w:tc>
        <w:tc>
          <w:tcPr>
            <w:tcW w:w="84" w:type="dxa"/>
            <w:tcBorders/>
            <w:shd w:fill="CCEEFF" w:val="clear"/>
            <w:vAlign w:val="center"/>
          </w:tcPr>
          <w:p>
            <w:pPr>
              <w:pStyle w:val="TableContents"/>
              <w:bidi w:val="0"/>
              <w:spacing w:before="0" w:after="283"/>
              <w:ind w:left="0" w:right="0" w:hanging="200"/>
              <w:jc w:val="left"/>
              <w:rPr/>
            </w:pPr>
            <w:r>
              <w:rPr/>
              <w:t> </w:t>
            </w:r>
            <w:bookmarkStart w:id="86" w:name="xdx_408_eus-gaap--AccumulatedOtherCompre"/>
            <w:bookmarkEnd w:id="86"/>
          </w:p>
        </w:tc>
      </w:tr>
      <w:tr>
        <w:trPr/>
        <w:tc>
          <w:tcPr>
            <w:tcW w:w="7303" w:type="dxa"/>
            <w:tcBorders/>
            <w:shd w:fill="FFFFFF" w:val="clear"/>
            <w:vAlign w:val="center"/>
          </w:tcPr>
          <w:p>
            <w:pPr>
              <w:pStyle w:val="TableContents"/>
              <w:bidi w:val="0"/>
              <w:spacing w:before="0" w:after="283"/>
              <w:jc w:val="left"/>
              <w:rPr/>
            </w:pPr>
            <w:r>
              <w:rPr/>
              <w:t>Accumulated other comprehensive (loss)/income</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(304,868</w:t>
            </w:r>
          </w:p>
        </w:tc>
        <w:tc>
          <w:tcPr>
            <w:tcW w:w="109"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pPr>
            <w:r>
              <w:rPr/>
              <w:t>1,004,477</w:t>
            </w:r>
          </w:p>
        </w:tc>
        <w:tc>
          <w:tcPr>
            <w:tcW w:w="84" w:type="dxa"/>
            <w:tcBorders/>
            <w:shd w:fill="FFFFFF" w:val="clear"/>
            <w:vAlign w:val="center"/>
          </w:tcPr>
          <w:p>
            <w:pPr>
              <w:pStyle w:val="TableContents"/>
              <w:bidi w:val="0"/>
              <w:spacing w:before="0" w:after="283"/>
              <w:ind w:left="0" w:right="0" w:hanging="200"/>
              <w:jc w:val="left"/>
              <w:rPr/>
            </w:pPr>
            <w:r>
              <w:rPr/>
              <w:t> </w:t>
            </w:r>
            <w:bookmarkStart w:id="87" w:name="xdx_401_eus-gaap--StockholdersEquity_iTI"/>
            <w:bookmarkEnd w:id="87"/>
          </w:p>
        </w:tc>
      </w:tr>
      <w:tr>
        <w:trPr/>
        <w:tc>
          <w:tcPr>
            <w:tcW w:w="7303" w:type="dxa"/>
            <w:tcBorders/>
            <w:shd w:fill="CCEEFF" w:val="clear"/>
            <w:vAlign w:val="center"/>
          </w:tcPr>
          <w:p>
            <w:pPr>
              <w:pStyle w:val="TableContents"/>
              <w:bidi w:val="0"/>
              <w:spacing w:before="0" w:after="283"/>
              <w:jc w:val="left"/>
              <w:rPr>
                <w:b/>
              </w:rPr>
            </w:pPr>
            <w:r>
              <w:rPr>
                <w:b/>
              </w:rPr>
              <w:t>Total ZJK Industrial Co., Ltd. shareholders’ equity</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43,469,029</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51,418,892</w:t>
            </w:r>
          </w:p>
        </w:tc>
        <w:tc>
          <w:tcPr>
            <w:tcW w:w="84" w:type="dxa"/>
            <w:tcBorders/>
            <w:shd w:fill="CCEEFF" w:val="clear"/>
            <w:vAlign w:val="center"/>
          </w:tcPr>
          <w:p>
            <w:pPr>
              <w:pStyle w:val="TableContents"/>
              <w:bidi w:val="0"/>
              <w:spacing w:before="0" w:after="283"/>
              <w:ind w:left="0" w:right="0" w:hanging="200"/>
              <w:jc w:val="left"/>
              <w:rPr/>
            </w:pPr>
            <w:r>
              <w:rPr/>
              <w:t> </w:t>
            </w:r>
            <w:bookmarkStart w:id="88" w:name="xdx_40B_ecustom--NoncontrollingInterests"/>
            <w:bookmarkEnd w:id="88"/>
          </w:p>
        </w:tc>
      </w:tr>
      <w:tr>
        <w:trPr/>
        <w:tc>
          <w:tcPr>
            <w:tcW w:w="7303"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125,199</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pPr>
            <w:r>
              <w:rPr/>
              <w:t>235,553</w:t>
            </w:r>
          </w:p>
        </w:tc>
        <w:tc>
          <w:tcPr>
            <w:tcW w:w="84" w:type="dxa"/>
            <w:tcBorders/>
            <w:shd w:fill="FFFFFF" w:val="clear"/>
            <w:vAlign w:val="center"/>
          </w:tcPr>
          <w:p>
            <w:pPr>
              <w:pStyle w:val="TableContents"/>
              <w:bidi w:val="0"/>
              <w:spacing w:before="0" w:after="283"/>
              <w:ind w:left="0" w:right="0" w:hanging="200"/>
              <w:jc w:val="left"/>
              <w:rPr/>
            </w:pPr>
            <w:r>
              <w:rPr/>
              <w:t> </w:t>
            </w:r>
            <w:bookmarkStart w:id="89" w:name="xdx_403_eus-gaap--StockholdersEquityIncl"/>
            <w:bookmarkEnd w:id="89"/>
          </w:p>
        </w:tc>
      </w:tr>
      <w:tr>
        <w:trPr/>
        <w:tc>
          <w:tcPr>
            <w:tcW w:w="7303"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43,594,228</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51,654,445</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7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200"/>
              <w:jc w:val="left"/>
              <w:rPr/>
            </w:pPr>
            <w:r>
              <w:rPr/>
              <w:t> </w:t>
            </w:r>
            <w:bookmarkStart w:id="90" w:name="xdx_409_eus-gaap--LiabilitiesAndStockhol"/>
            <w:bookmarkEnd w:id="90"/>
          </w:p>
        </w:tc>
      </w:tr>
      <w:tr>
        <w:trPr/>
        <w:tc>
          <w:tcPr>
            <w:tcW w:w="7303"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79,528,262</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84,998,330</w:t>
            </w:r>
          </w:p>
        </w:tc>
        <w:tc>
          <w:tcPr>
            <w:tcW w:w="84"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ind w:left="142"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shares and per share information are presented on a retroactive basis to reflect the reorganization completed on March 28, 2023, the two share splits that occurred on June 19, 2023 and June 6, 2024, respectively (Note 1).</w:t>
      </w:r>
    </w:p>
    <w:p>
      <w:pPr>
        <w:pStyle w:val="TextBody"/>
        <w:bidi w:val="0"/>
        <w:ind w:left="142" w:right="0" w:hanging="0"/>
        <w:jc w:val="center"/>
        <w:rPr>
          <w:caps w:val="false"/>
          <w:smallCaps w:val="false"/>
        </w:rPr>
      </w:pPr>
      <w:r>
        <w:rPr>
          <w:caps w:val="false"/>
          <w:smallCaps w:val="false"/>
        </w:rPr>
        <w:t> </w:t>
      </w:r>
    </w:p>
    <w:p>
      <w:pPr>
        <w:pStyle w:val="TextBody"/>
        <w:bidi w:val="0"/>
        <w:ind w:left="142"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redesignation of ordinary shares into Class A ordinary shares and Class B ordinary shares is effective on March 17, 2026 (Note 1).</w:t>
      </w:r>
    </w:p>
    <w:p>
      <w:pPr>
        <w:pStyle w:val="TextBody"/>
        <w:bidi w:val="0"/>
        <w:ind w:left="142"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F-2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i w:val="false"/>
          <w:caps w:val="false"/>
          <w:smallCaps w:val="false"/>
          <w:sz w:val="20"/>
        </w:rPr>
      </w:pPr>
      <w:bookmarkStart w:id="91" w:name="a_002"/>
      <w:bookmarkEnd w:id="91"/>
      <w:r>
        <w:rPr>
          <w:rFonts w:ascii="Times New Roman;Times;Serif" w:hAnsi="Times New Roman;Times;Serif"/>
          <w:b/>
          <w:i w:val="false"/>
          <w:caps w:val="false"/>
          <w:smallCaps w:val="false"/>
          <w:sz w:val="20"/>
        </w:rPr>
        <w:t>UNAUDITED CONDENSED CONSOLIDATED STATEMENTS OF INCOME AND COMPREHENSIVE INCOME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for the number of shares data)</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2" w:name="xdx_30A_113_zL6afaMs31gl"/>
      <w:bookmarkStart w:id="93" w:name="xdx_30A_113_zL6afaMs31gl"/>
      <w:bookmarkEnd w:id="93"/>
    </w:p>
    <w:tbl>
      <w:tblPr>
        <w:tblW w:w="10205" w:type="dxa"/>
        <w:jc w:val="left"/>
        <w:tblInd w:w="0" w:type="dxa"/>
        <w:tblLayout w:type="fixed"/>
        <w:tblCellMar>
          <w:top w:w="0" w:type="dxa"/>
          <w:left w:w="0" w:type="dxa"/>
          <w:bottom w:w="0" w:type="dxa"/>
          <w:right w:w="0" w:type="dxa"/>
        </w:tblCellMar>
      </w:tblPr>
      <w:tblGrid>
        <w:gridCol w:w="6737"/>
        <w:gridCol w:w="60"/>
        <w:gridCol w:w="74"/>
        <w:gridCol w:w="1466"/>
        <w:gridCol w:w="118"/>
        <w:gridCol w:w="74"/>
        <w:gridCol w:w="74"/>
        <w:gridCol w:w="1466"/>
        <w:gridCol w:w="136"/>
      </w:tblGrid>
      <w:tr>
        <w:trPr/>
        <w:tc>
          <w:tcPr>
            <w:tcW w:w="6737" w:type="dxa"/>
            <w:tcBorders/>
            <w:shd w:fill="FFFFFF" w:val="clear"/>
            <w:vAlign w:val="center"/>
          </w:tcPr>
          <w:p>
            <w:pPr>
              <w:pStyle w:val="TableContents"/>
              <w:bidi w:val="0"/>
              <w:spacing w:before="0" w:after="283"/>
              <w:ind w:left="0" w:right="0" w:hanging="2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94" w:name="xdx_498_20250101__20250630_zWEmOGNHcpQ5"/>
            <w:bookmarkEnd w:id="94"/>
          </w:p>
        </w:tc>
        <w:tc>
          <w:tcPr>
            <w:tcW w:w="146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95" w:name="xdx_49A_20260101__20260630_zUivrh3JUfT3"/>
            <w:bookmarkEnd w:id="95"/>
          </w:p>
        </w:tc>
        <w:tc>
          <w:tcPr>
            <w:tcW w:w="1466"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ind w:left="0" w:right="0" w:hanging="200"/>
              <w:jc w:val="left"/>
              <w:rPr/>
            </w:pPr>
            <w:r>
              <w:rPr/>
              <w:t> </w:t>
            </w:r>
          </w:p>
        </w:tc>
      </w:tr>
      <w:tr>
        <w:trPr/>
        <w:tc>
          <w:tcPr>
            <w:tcW w:w="67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08"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w:t>
            </w:r>
          </w:p>
        </w:tc>
      </w:tr>
      <w:tr>
        <w:trPr/>
        <w:tc>
          <w:tcPr>
            <w:tcW w:w="67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4" w:type="dxa"/>
            <w:tcBorders/>
            <w:vAlign w:val="center"/>
          </w:tcPr>
          <w:p>
            <w:pPr>
              <w:pStyle w:val="TableContents"/>
              <w:bidi w:val="0"/>
              <w:spacing w:before="0" w:after="283"/>
              <w:jc w:val="left"/>
              <w:rPr/>
            </w:pPr>
            <w:r>
              <w:rPr/>
              <w:t> </w:t>
            </w:r>
          </w:p>
        </w:tc>
        <w:tc>
          <w:tcPr>
            <w:tcW w:w="1676"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2026</w:t>
            </w:r>
          </w:p>
        </w:tc>
      </w:tr>
      <w:tr>
        <w:trPr/>
        <w:tc>
          <w:tcPr>
            <w:tcW w:w="67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08" w:type="dxa"/>
            <w:gridSpan w:val="7"/>
            <w:tcBorders/>
            <w:vAlign w:val="center"/>
          </w:tcPr>
          <w:p>
            <w:pPr>
              <w:pStyle w:val="TableContents"/>
              <w:bidi w:val="0"/>
              <w:spacing w:before="0" w:after="283"/>
              <w:ind w:left="0" w:right="0" w:hanging="200"/>
              <w:jc w:val="center"/>
              <w:rPr>
                <w:b/>
              </w:rPr>
            </w:pPr>
            <w:r>
              <w:rPr>
                <w:b/>
              </w:rPr>
              <w:t>(Unaudited)</w:t>
            </w:r>
            <w:bookmarkStart w:id="96" w:name="xdx_408_eus-gaap--RevenuesAbstract_iB_z6"/>
            <w:bookmarkEnd w:id="96"/>
          </w:p>
        </w:tc>
      </w:tr>
      <w:tr>
        <w:trPr/>
        <w:tc>
          <w:tcPr>
            <w:tcW w:w="6737"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ind w:left="0" w:right="0" w:hanging="200"/>
              <w:jc w:val="left"/>
              <w:rPr/>
            </w:pPr>
            <w:r>
              <w:rPr/>
              <w:t> </w:t>
            </w:r>
          </w:p>
        </w:tc>
      </w:tr>
      <w:tr>
        <w:trPr/>
        <w:tc>
          <w:tcPr>
            <w:tcW w:w="6737" w:type="dxa"/>
            <w:tcBorders/>
            <w:shd w:fill="FFFFFF" w:val="clear"/>
            <w:vAlign w:val="center"/>
          </w:tcPr>
          <w:p>
            <w:pPr>
              <w:pStyle w:val="TableContents"/>
              <w:bidi w:val="0"/>
              <w:spacing w:before="0" w:after="283"/>
              <w:jc w:val="left"/>
              <w:rPr/>
            </w:pPr>
            <w:r>
              <w:rPr/>
              <w:t>Third-party sales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97" w:name="xdx_989_eus-gaap--Revenues_pp0p0_c202501"/>
            <w:bookmarkEnd w:id="97"/>
          </w:p>
        </w:tc>
        <w:tc>
          <w:tcPr>
            <w:tcW w:w="1466" w:type="dxa"/>
            <w:tcBorders/>
            <w:shd w:fill="FFFFFF" w:val="clear"/>
            <w:vAlign w:val="center"/>
          </w:tcPr>
          <w:p>
            <w:pPr>
              <w:pStyle w:val="TableContents"/>
              <w:bidi w:val="0"/>
              <w:spacing w:before="0" w:after="283"/>
              <w:jc w:val="right"/>
              <w:rPr/>
            </w:pPr>
            <w:r>
              <w:rPr/>
              <w:t>15,153,800</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98" w:name="xdx_981_eus-gaap--Revenues_pp0p0_c202601"/>
            <w:bookmarkEnd w:id="98"/>
          </w:p>
        </w:tc>
        <w:tc>
          <w:tcPr>
            <w:tcW w:w="1466" w:type="dxa"/>
            <w:tcBorders/>
            <w:shd w:fill="FFFFFF" w:val="clear"/>
            <w:vAlign w:val="center"/>
          </w:tcPr>
          <w:p>
            <w:pPr>
              <w:pStyle w:val="TableContents"/>
              <w:bidi w:val="0"/>
              <w:spacing w:before="0" w:after="283"/>
              <w:jc w:val="right"/>
              <w:rPr/>
            </w:pPr>
            <w:r>
              <w:rPr/>
              <w:t>24,389,206</w:t>
            </w:r>
          </w:p>
        </w:tc>
        <w:tc>
          <w:tcPr>
            <w:tcW w:w="136" w:type="dxa"/>
            <w:tcBorders/>
            <w:shd w:fill="FFFFFF" w:val="clear"/>
            <w:vAlign w:val="center"/>
          </w:tcPr>
          <w:p>
            <w:pPr>
              <w:pStyle w:val="TableContents"/>
              <w:bidi w:val="0"/>
              <w:spacing w:before="0" w:after="283"/>
              <w:ind w:left="0" w:right="0" w:hanging="200"/>
              <w:jc w:val="left"/>
              <w:rPr/>
            </w:pPr>
            <w:r>
              <w:rPr/>
              <w:t> </w:t>
            </w:r>
          </w:p>
        </w:tc>
      </w:tr>
      <w:tr>
        <w:trPr/>
        <w:tc>
          <w:tcPr>
            <w:tcW w:w="6737" w:type="dxa"/>
            <w:tcBorders/>
            <w:shd w:fill="CCEEFF" w:val="clear"/>
            <w:vAlign w:val="center"/>
          </w:tcPr>
          <w:p>
            <w:pPr>
              <w:pStyle w:val="TableContents"/>
              <w:bidi w:val="0"/>
              <w:spacing w:before="0" w:after="283"/>
              <w:jc w:val="left"/>
              <w:rPr/>
            </w:pPr>
            <w:r>
              <w:rPr/>
              <w:t>Related-party sales</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9" w:name="xdx_982_eus-gaap--Revenues_pp0p0_c202501"/>
            <w:bookmarkEnd w:id="99"/>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pPr>
            <w:r>
              <w:rPr/>
              <w:t>9,549,460</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0" w:name="xdx_98C_eus-gaap--Revenues_pp0p0_c202601"/>
            <w:bookmarkEnd w:id="100"/>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pPr>
            <w:r>
              <w:rPr/>
              <w:t>9,355,383</w:t>
            </w:r>
          </w:p>
        </w:tc>
        <w:tc>
          <w:tcPr>
            <w:tcW w:w="136" w:type="dxa"/>
            <w:tcBorders/>
            <w:shd w:fill="CCEEFF" w:val="clear"/>
            <w:vAlign w:val="center"/>
          </w:tcPr>
          <w:p>
            <w:pPr>
              <w:pStyle w:val="TableContents"/>
              <w:bidi w:val="0"/>
              <w:spacing w:before="0" w:after="283"/>
              <w:ind w:left="0" w:right="0" w:hanging="200"/>
              <w:jc w:val="left"/>
              <w:rPr/>
            </w:pPr>
            <w:r>
              <w:rPr/>
              <w:t> </w:t>
            </w:r>
            <w:bookmarkStart w:id="101" w:name="xdx_40B_eus-gaap--Revenues_maGPzXQS_zBks"/>
            <w:bookmarkEnd w:id="101"/>
          </w:p>
        </w:tc>
      </w:tr>
      <w:tr>
        <w:trPr/>
        <w:tc>
          <w:tcPr>
            <w:tcW w:w="6737"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b/>
              </w:rPr>
            </w:pPr>
            <w:r>
              <w:rPr>
                <w:b/>
              </w:rPr>
              <w:t>24,703,260</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b/>
              </w:rPr>
            </w:pPr>
            <w:r>
              <w:rPr>
                <w:b/>
              </w:rPr>
              <w:t>33,744,589</w:t>
            </w:r>
          </w:p>
        </w:tc>
        <w:tc>
          <w:tcPr>
            <w:tcW w:w="136" w:type="dxa"/>
            <w:tcBorders/>
            <w:shd w:fill="FFFFFF" w:val="clear"/>
            <w:vAlign w:val="center"/>
          </w:tcPr>
          <w:p>
            <w:pPr>
              <w:pStyle w:val="TableContents"/>
              <w:bidi w:val="0"/>
              <w:spacing w:before="0" w:after="283"/>
              <w:ind w:left="0" w:right="0" w:hanging="200"/>
              <w:jc w:val="left"/>
              <w:rPr/>
            </w:pPr>
            <w:r>
              <w:rPr/>
              <w:t> </w:t>
            </w:r>
            <w:bookmarkStart w:id="102" w:name="xdx_40E_eus-gaap--CostOfRevenueAbstract_"/>
            <w:bookmarkEnd w:id="102"/>
          </w:p>
        </w:tc>
      </w:tr>
      <w:tr>
        <w:trPr/>
        <w:tc>
          <w:tcPr>
            <w:tcW w:w="6737"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ind w:left="0" w:right="0" w:hanging="200"/>
              <w:jc w:val="left"/>
              <w:rPr/>
            </w:pPr>
            <w:r>
              <w:rPr/>
              <w:t> </w:t>
            </w:r>
          </w:p>
        </w:tc>
      </w:tr>
      <w:tr>
        <w:trPr/>
        <w:tc>
          <w:tcPr>
            <w:tcW w:w="6737" w:type="dxa"/>
            <w:tcBorders/>
            <w:shd w:fill="FFFFFF" w:val="clear"/>
            <w:vAlign w:val="center"/>
          </w:tcPr>
          <w:p>
            <w:pPr>
              <w:pStyle w:val="TableContents"/>
              <w:bidi w:val="0"/>
              <w:spacing w:before="0" w:after="283"/>
              <w:jc w:val="left"/>
              <w:rPr/>
            </w:pPr>
            <w:r>
              <w:rPr/>
              <w:t>Third-party sales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103" w:name="xdx_98A_eus-gaap--CostOfRevenue_iN_pp0p0"/>
            <w:bookmarkEnd w:id="103"/>
          </w:p>
        </w:tc>
        <w:tc>
          <w:tcPr>
            <w:tcW w:w="1466" w:type="dxa"/>
            <w:tcBorders/>
            <w:shd w:fill="FFFFFF" w:val="clear"/>
            <w:vAlign w:val="center"/>
          </w:tcPr>
          <w:p>
            <w:pPr>
              <w:pStyle w:val="TableContents"/>
              <w:bidi w:val="0"/>
              <w:spacing w:before="0" w:after="283"/>
              <w:jc w:val="right"/>
              <w:rPr/>
            </w:pPr>
            <w:r>
              <w:rPr/>
              <w:t>(5,653,621</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104" w:name="xdx_98F_eus-gaap--CostOfRevenue_iN_pp0p0"/>
            <w:bookmarkEnd w:id="104"/>
          </w:p>
        </w:tc>
        <w:tc>
          <w:tcPr>
            <w:tcW w:w="1466" w:type="dxa"/>
            <w:tcBorders/>
            <w:shd w:fill="FFFFFF" w:val="clear"/>
            <w:vAlign w:val="center"/>
          </w:tcPr>
          <w:p>
            <w:pPr>
              <w:pStyle w:val="TableContents"/>
              <w:bidi w:val="0"/>
              <w:spacing w:before="0" w:after="283"/>
              <w:jc w:val="right"/>
              <w:rPr/>
            </w:pPr>
            <w:r>
              <w:rPr/>
              <w:t>(11,837,351</w:t>
            </w:r>
          </w:p>
        </w:tc>
        <w:tc>
          <w:tcPr>
            <w:tcW w:w="136" w:type="dxa"/>
            <w:tcBorders/>
            <w:shd w:fill="FFFFFF" w:val="clear"/>
            <w:vAlign w:val="center"/>
          </w:tcPr>
          <w:p>
            <w:pPr>
              <w:pStyle w:val="TableContents"/>
              <w:bidi w:val="0"/>
              <w:spacing w:before="0" w:after="283"/>
              <w:ind w:left="0" w:right="0" w:hanging="200"/>
              <w:jc w:val="left"/>
              <w:rPr/>
            </w:pPr>
            <w:r>
              <w:rPr/>
              <w:t>)</w:t>
            </w:r>
          </w:p>
        </w:tc>
      </w:tr>
      <w:tr>
        <w:trPr/>
        <w:tc>
          <w:tcPr>
            <w:tcW w:w="6737" w:type="dxa"/>
            <w:tcBorders/>
            <w:shd w:fill="CCEEFF" w:val="clear"/>
            <w:vAlign w:val="center"/>
          </w:tcPr>
          <w:p>
            <w:pPr>
              <w:pStyle w:val="TableContents"/>
              <w:bidi w:val="0"/>
              <w:spacing w:before="0" w:after="283"/>
              <w:jc w:val="left"/>
              <w:rPr/>
            </w:pPr>
            <w:r>
              <w:rPr/>
              <w:t>Related-party sales</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5" w:name="xdx_984_eus-gaap--CostOfRevenue_iN_pp0p0"/>
            <w:bookmarkEnd w:id="105"/>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pPr>
            <w:r>
              <w:rPr/>
              <w:t>(6,730,162</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6" w:name="xdx_986_eus-gaap--CostOfRevenue_iN_pp0p0"/>
            <w:bookmarkEnd w:id="106"/>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pPr>
            <w:r>
              <w:rPr/>
              <w:t>(7,615,072</w:t>
            </w:r>
          </w:p>
        </w:tc>
        <w:tc>
          <w:tcPr>
            <w:tcW w:w="136" w:type="dxa"/>
            <w:tcBorders/>
            <w:shd w:fill="CCEEFF" w:val="clear"/>
            <w:vAlign w:val="center"/>
          </w:tcPr>
          <w:p>
            <w:pPr>
              <w:pStyle w:val="TableContents"/>
              <w:bidi w:val="0"/>
              <w:spacing w:before="0" w:after="283"/>
              <w:ind w:left="0" w:right="0" w:hanging="200"/>
              <w:jc w:val="left"/>
              <w:rPr/>
            </w:pPr>
            <w:r>
              <w:rPr/>
              <w:t>)</w:t>
            </w:r>
            <w:bookmarkStart w:id="107" w:name="xdx_40F_eus-gaap--CostOfRevenue_iN_di_ms"/>
            <w:bookmarkEnd w:id="107"/>
          </w:p>
        </w:tc>
      </w:tr>
      <w:tr>
        <w:trPr/>
        <w:tc>
          <w:tcPr>
            <w:tcW w:w="6737" w:type="dxa"/>
            <w:tcBorders/>
            <w:shd w:fill="FFFFFF" w:val="clear"/>
            <w:vAlign w:val="center"/>
          </w:tcPr>
          <w:p>
            <w:pPr>
              <w:pStyle w:val="TableContents"/>
              <w:bidi w:val="0"/>
              <w:spacing w:before="0" w:after="283"/>
              <w:jc w:val="left"/>
              <w:rPr>
                <w:b/>
              </w:rPr>
            </w:pPr>
            <w:r>
              <w:rPr>
                <w:b/>
              </w:rPr>
              <w:t>Total cost of revenues</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(12,383,783</w:t>
            </w:r>
          </w:p>
        </w:tc>
        <w:tc>
          <w:tcPr>
            <w:tcW w:w="118" w:type="dxa"/>
            <w:tcBorders/>
            <w:shd w:fill="FFFFFF" w:val="clear"/>
            <w:vAlign w:val="center"/>
          </w:tcPr>
          <w:p>
            <w:pPr>
              <w:pStyle w:val="TableContents"/>
              <w:bidi w:val="0"/>
              <w:spacing w:before="0" w:after="283"/>
              <w:jc w:val="left"/>
              <w:rPr>
                <w:b/>
              </w:rPr>
            </w:pPr>
            <w:r>
              <w:rPr>
                <w:b/>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(19,452,423</w:t>
            </w:r>
          </w:p>
        </w:tc>
        <w:tc>
          <w:tcPr>
            <w:tcW w:w="136" w:type="dxa"/>
            <w:tcBorders/>
            <w:shd w:fill="FFFFFF" w:val="clear"/>
            <w:vAlign w:val="center"/>
          </w:tcPr>
          <w:p>
            <w:pPr>
              <w:pStyle w:val="TableContents"/>
              <w:bidi w:val="0"/>
              <w:spacing w:before="0" w:after="283"/>
              <w:ind w:left="0" w:right="0" w:hanging="200"/>
              <w:jc w:val="left"/>
              <w:rPr>
                <w:b/>
              </w:rPr>
            </w:pPr>
            <w:r>
              <w:rPr>
                <w:b/>
              </w:rPr>
              <w:t>)</w:t>
            </w:r>
            <w:bookmarkStart w:id="108" w:name="xdx_40D_eus-gaap--GrossProfit_iT_mtGPzXQ"/>
            <w:bookmarkEnd w:id="108"/>
          </w:p>
        </w:tc>
      </w:tr>
      <w:tr>
        <w:trPr/>
        <w:tc>
          <w:tcPr>
            <w:tcW w:w="6737"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b/>
              </w:rPr>
            </w:pPr>
            <w:r>
              <w:rPr>
                <w:b/>
              </w:rPr>
              <w:t>12,319,477</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b/>
              </w:rPr>
            </w:pPr>
            <w:r>
              <w:rPr>
                <w:b/>
              </w:rPr>
              <w:t>14,292,166</w:t>
            </w:r>
          </w:p>
        </w:tc>
        <w:tc>
          <w:tcPr>
            <w:tcW w:w="136" w:type="dxa"/>
            <w:tcBorders/>
            <w:shd w:fill="CCEEFF" w:val="clear"/>
            <w:vAlign w:val="center"/>
          </w:tcPr>
          <w:p>
            <w:pPr>
              <w:pStyle w:val="TableContents"/>
              <w:bidi w:val="0"/>
              <w:spacing w:before="0" w:after="283"/>
              <w:ind w:left="0" w:right="0" w:hanging="200"/>
              <w:jc w:val="left"/>
              <w:rPr/>
            </w:pPr>
            <w:r>
              <w:rPr/>
              <w:t> </w:t>
            </w:r>
          </w:p>
        </w:tc>
      </w:tr>
      <w:tr>
        <w:trPr/>
        <w:tc>
          <w:tcPr>
            <w:tcW w:w="6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ind w:left="0" w:right="0" w:hanging="200"/>
              <w:jc w:val="left"/>
              <w:rPr/>
            </w:pPr>
            <w:r>
              <w:rPr/>
              <w:t> </w:t>
            </w:r>
            <w:bookmarkStart w:id="109" w:name="xdx_40F_eus-gaap--OperatingExpensesAbstr"/>
            <w:bookmarkEnd w:id="109"/>
          </w:p>
        </w:tc>
      </w:tr>
      <w:tr>
        <w:trPr/>
        <w:tc>
          <w:tcPr>
            <w:tcW w:w="6737"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ind w:left="0" w:right="0" w:hanging="200"/>
              <w:jc w:val="left"/>
              <w:rPr/>
            </w:pPr>
            <w:r>
              <w:rPr/>
              <w:t> </w:t>
            </w:r>
            <w:bookmarkStart w:id="110" w:name="xdx_40B_eus-gaap--SellingAndMarketingExp"/>
            <w:bookmarkEnd w:id="110"/>
          </w:p>
        </w:tc>
      </w:tr>
      <w:tr>
        <w:trPr/>
        <w:tc>
          <w:tcPr>
            <w:tcW w:w="6737"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(3,555,816</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(4,243,018</w:t>
            </w:r>
          </w:p>
        </w:tc>
        <w:tc>
          <w:tcPr>
            <w:tcW w:w="136" w:type="dxa"/>
            <w:tcBorders/>
            <w:shd w:fill="FFFFFF" w:val="clear"/>
            <w:vAlign w:val="center"/>
          </w:tcPr>
          <w:p>
            <w:pPr>
              <w:pStyle w:val="TableContents"/>
              <w:bidi w:val="0"/>
              <w:spacing w:before="0" w:after="283"/>
              <w:ind w:left="0" w:right="0" w:hanging="200"/>
              <w:jc w:val="left"/>
              <w:rPr/>
            </w:pPr>
            <w:r>
              <w:rPr/>
              <w:t>)</w:t>
            </w:r>
            <w:bookmarkStart w:id="111" w:name="xdx_407_eus-gaap--GeneralAndAdministrati"/>
            <w:bookmarkEnd w:id="111"/>
          </w:p>
        </w:tc>
      </w:tr>
      <w:tr>
        <w:trPr/>
        <w:tc>
          <w:tcPr>
            <w:tcW w:w="6737"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(2,690,131</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(4,112,062</w:t>
            </w:r>
          </w:p>
        </w:tc>
        <w:tc>
          <w:tcPr>
            <w:tcW w:w="136" w:type="dxa"/>
            <w:tcBorders/>
            <w:shd w:fill="CCEEFF" w:val="clear"/>
            <w:vAlign w:val="center"/>
          </w:tcPr>
          <w:p>
            <w:pPr>
              <w:pStyle w:val="TableContents"/>
              <w:bidi w:val="0"/>
              <w:spacing w:before="0" w:after="283"/>
              <w:ind w:left="0" w:right="0" w:hanging="200"/>
              <w:jc w:val="left"/>
              <w:rPr/>
            </w:pPr>
            <w:r>
              <w:rPr/>
              <w:t>)</w:t>
            </w:r>
            <w:bookmarkStart w:id="112" w:name="xdx_409_eus-gaap--ResearchAndDevelopment"/>
            <w:bookmarkEnd w:id="112"/>
          </w:p>
        </w:tc>
      </w:tr>
      <w:tr>
        <w:trPr/>
        <w:tc>
          <w:tcPr>
            <w:tcW w:w="6737" w:type="dxa"/>
            <w:tcBorders/>
            <w:shd w:fill="FFFFFF" w:val="clear"/>
            <w:vAlign w:val="center"/>
          </w:tcPr>
          <w:p>
            <w:pPr>
              <w:pStyle w:val="TableContents"/>
              <w:bidi w:val="0"/>
              <w:spacing w:before="0" w:after="283"/>
              <w:jc w:val="left"/>
              <w:rPr/>
            </w:pPr>
            <w:r>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(212,193</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(280,698</w:t>
            </w:r>
          </w:p>
        </w:tc>
        <w:tc>
          <w:tcPr>
            <w:tcW w:w="136" w:type="dxa"/>
            <w:tcBorders/>
            <w:shd w:fill="FFFFFF" w:val="clear"/>
            <w:vAlign w:val="center"/>
          </w:tcPr>
          <w:p>
            <w:pPr>
              <w:pStyle w:val="TableContents"/>
              <w:bidi w:val="0"/>
              <w:spacing w:before="0" w:after="283"/>
              <w:ind w:left="0" w:right="0" w:hanging="200"/>
              <w:jc w:val="left"/>
              <w:rPr/>
            </w:pPr>
            <w:r>
              <w:rPr/>
              <w:t>)</w:t>
            </w:r>
            <w:bookmarkStart w:id="113" w:name="xdx_404_eus-gaap--OperatingExpenses_iNT_"/>
            <w:bookmarkEnd w:id="113"/>
          </w:p>
        </w:tc>
      </w:tr>
      <w:tr>
        <w:trPr/>
        <w:tc>
          <w:tcPr>
            <w:tcW w:w="6737"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b/>
              </w:rPr>
            </w:pPr>
            <w:r>
              <w:rPr>
                <w:b/>
              </w:rPr>
              <w:t>(6,458,140</w:t>
            </w:r>
          </w:p>
        </w:tc>
        <w:tc>
          <w:tcPr>
            <w:tcW w:w="118" w:type="dxa"/>
            <w:tcBorders/>
            <w:shd w:fill="CCEEFF" w:val="clear"/>
            <w:vAlign w:val="center"/>
          </w:tcPr>
          <w:p>
            <w:pPr>
              <w:pStyle w:val="TableContents"/>
              <w:bidi w:val="0"/>
              <w:spacing w:before="0" w:after="283"/>
              <w:jc w:val="left"/>
              <w:rPr>
                <w:b/>
              </w:rPr>
            </w:pPr>
            <w:r>
              <w:rPr>
                <w:b/>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b/>
              </w:rPr>
            </w:pPr>
            <w:r>
              <w:rPr>
                <w:b/>
              </w:rPr>
              <w:t>(8,635,778</w:t>
            </w:r>
          </w:p>
        </w:tc>
        <w:tc>
          <w:tcPr>
            <w:tcW w:w="136" w:type="dxa"/>
            <w:tcBorders/>
            <w:shd w:fill="CCEEFF" w:val="clear"/>
            <w:vAlign w:val="center"/>
          </w:tcPr>
          <w:p>
            <w:pPr>
              <w:pStyle w:val="TableContents"/>
              <w:bidi w:val="0"/>
              <w:spacing w:before="0" w:after="283"/>
              <w:ind w:left="0" w:right="0" w:hanging="200"/>
              <w:jc w:val="left"/>
              <w:rPr>
                <w:b/>
              </w:rPr>
            </w:pPr>
            <w:r>
              <w:rPr>
                <w:b/>
              </w:rPr>
              <w:t>)</w:t>
            </w:r>
          </w:p>
        </w:tc>
      </w:tr>
      <w:tr>
        <w:trPr/>
        <w:tc>
          <w:tcPr>
            <w:tcW w:w="6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ind w:left="0" w:right="0" w:hanging="200"/>
              <w:jc w:val="left"/>
              <w:rPr/>
            </w:pPr>
            <w:r>
              <w:rPr/>
              <w:t> </w:t>
            </w:r>
            <w:bookmarkStart w:id="114" w:name="xdx_407_eus-gaap--OperatingIncomeLoss_iT"/>
            <w:bookmarkEnd w:id="114"/>
          </w:p>
        </w:tc>
      </w:tr>
      <w:tr>
        <w:trPr/>
        <w:tc>
          <w:tcPr>
            <w:tcW w:w="6737" w:type="dxa"/>
            <w:tcBorders/>
            <w:shd w:fill="CCEEFF" w:val="clear"/>
            <w:vAlign w:val="center"/>
          </w:tcPr>
          <w:p>
            <w:pPr>
              <w:pStyle w:val="TableContents"/>
              <w:bidi w:val="0"/>
              <w:spacing w:before="0" w:after="283"/>
              <w:jc w:val="left"/>
              <w:rPr>
                <w:b/>
              </w:rPr>
            </w:pPr>
            <w:r>
              <w:rPr>
                <w:b/>
              </w:rPr>
              <w:t>Income from operations</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5,861,337</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5,656,388</w:t>
            </w:r>
          </w:p>
        </w:tc>
        <w:tc>
          <w:tcPr>
            <w:tcW w:w="136" w:type="dxa"/>
            <w:tcBorders/>
            <w:shd w:fill="CCEEFF" w:val="clear"/>
            <w:vAlign w:val="center"/>
          </w:tcPr>
          <w:p>
            <w:pPr>
              <w:pStyle w:val="TableContents"/>
              <w:bidi w:val="0"/>
              <w:spacing w:before="0" w:after="283"/>
              <w:ind w:left="0" w:right="0" w:hanging="200"/>
              <w:jc w:val="left"/>
              <w:rPr/>
            </w:pPr>
            <w:r>
              <w:rPr/>
              <w:t> </w:t>
            </w:r>
          </w:p>
        </w:tc>
      </w:tr>
      <w:tr>
        <w:trPr/>
        <w:tc>
          <w:tcPr>
            <w:tcW w:w="6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ind w:left="0" w:right="0" w:hanging="200"/>
              <w:jc w:val="left"/>
              <w:rPr/>
            </w:pPr>
            <w:r>
              <w:rPr/>
              <w:t> </w:t>
            </w:r>
            <w:bookmarkStart w:id="115" w:name="xdx_402_eus-gaap--NonoperatingIncomeExpe"/>
            <w:bookmarkEnd w:id="115"/>
          </w:p>
        </w:tc>
      </w:tr>
      <w:tr>
        <w:trPr/>
        <w:tc>
          <w:tcPr>
            <w:tcW w:w="6737" w:type="dxa"/>
            <w:tcBorders/>
            <w:shd w:fill="CCEEFF" w:val="clear"/>
            <w:vAlign w:val="center"/>
          </w:tcPr>
          <w:p>
            <w:pPr>
              <w:pStyle w:val="TableContents"/>
              <w:bidi w:val="0"/>
              <w:spacing w:before="0" w:after="283"/>
              <w:jc w:val="left"/>
              <w:rPr>
                <w:b/>
              </w:rPr>
            </w:pPr>
            <w:r>
              <w:rPr>
                <w:b/>
              </w:rPr>
              <w:t>Other income, net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ind w:left="0" w:right="0" w:hanging="200"/>
              <w:jc w:val="left"/>
              <w:rPr/>
            </w:pPr>
            <w:r>
              <w:rPr/>
              <w:t> </w:t>
            </w:r>
            <w:bookmarkStart w:id="116" w:name="xdx_407_eus-gaap--InterestExpense_i01N_d"/>
            <w:bookmarkEnd w:id="116"/>
          </w:p>
        </w:tc>
      </w:tr>
      <w:tr>
        <w:trPr/>
        <w:tc>
          <w:tcPr>
            <w:tcW w:w="6737"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(6,291</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ind w:left="0" w:right="0" w:hanging="200"/>
              <w:jc w:val="left"/>
              <w:rPr/>
            </w:pPr>
            <w:r>
              <w:rPr/>
              <w:t> </w:t>
            </w:r>
            <w:bookmarkStart w:id="117" w:name="xdx_40A_eus-gaap--InvestmentIncomeIntere"/>
            <w:bookmarkEnd w:id="117"/>
          </w:p>
        </w:tc>
      </w:tr>
      <w:tr>
        <w:trPr/>
        <w:tc>
          <w:tcPr>
            <w:tcW w:w="6737"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149,496</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166,458</w:t>
            </w:r>
          </w:p>
        </w:tc>
        <w:tc>
          <w:tcPr>
            <w:tcW w:w="136" w:type="dxa"/>
            <w:tcBorders/>
            <w:shd w:fill="CCEEFF" w:val="clear"/>
            <w:vAlign w:val="center"/>
          </w:tcPr>
          <w:p>
            <w:pPr>
              <w:pStyle w:val="TableContents"/>
              <w:bidi w:val="0"/>
              <w:spacing w:before="0" w:after="283"/>
              <w:ind w:left="0" w:right="0" w:hanging="200"/>
              <w:jc w:val="left"/>
              <w:rPr/>
            </w:pPr>
            <w:r>
              <w:rPr/>
              <w:t> </w:t>
            </w:r>
            <w:bookmarkStart w:id="118" w:name="xdx_409_ecustom--ShareOfProfitsFromEquit"/>
            <w:bookmarkEnd w:id="118"/>
          </w:p>
        </w:tc>
      </w:tr>
      <w:tr>
        <w:trPr/>
        <w:tc>
          <w:tcPr>
            <w:tcW w:w="6737" w:type="dxa"/>
            <w:tcBorders/>
            <w:shd w:fill="FFFFFF" w:val="clear"/>
            <w:vAlign w:val="center"/>
          </w:tcPr>
          <w:p>
            <w:pPr>
              <w:pStyle w:val="TableContents"/>
              <w:bidi w:val="0"/>
              <w:spacing w:before="0" w:after="283"/>
              <w:jc w:val="left"/>
              <w:rPr/>
            </w:pPr>
            <w:r>
              <w:rPr/>
              <w:t>Share of profits from equity method investment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1,431,032</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1,475,335</w:t>
            </w:r>
          </w:p>
        </w:tc>
        <w:tc>
          <w:tcPr>
            <w:tcW w:w="136" w:type="dxa"/>
            <w:tcBorders/>
            <w:shd w:fill="FFFFFF" w:val="clear"/>
            <w:vAlign w:val="center"/>
          </w:tcPr>
          <w:p>
            <w:pPr>
              <w:pStyle w:val="TableContents"/>
              <w:bidi w:val="0"/>
              <w:spacing w:before="0" w:after="283"/>
              <w:ind w:left="0" w:right="0" w:hanging="200"/>
              <w:jc w:val="left"/>
              <w:rPr/>
            </w:pPr>
            <w:r>
              <w:rPr/>
              <w:t> </w:t>
            </w:r>
            <w:bookmarkStart w:id="119" w:name="xdx_400_ecustom--CurrencyExchangeGain_i0"/>
            <w:bookmarkEnd w:id="119"/>
          </w:p>
        </w:tc>
      </w:tr>
      <w:tr>
        <w:trPr/>
        <w:tc>
          <w:tcPr>
            <w:tcW w:w="6737" w:type="dxa"/>
            <w:tcBorders/>
            <w:shd w:fill="CCEEFF" w:val="clear"/>
            <w:vAlign w:val="center"/>
          </w:tcPr>
          <w:p>
            <w:pPr>
              <w:pStyle w:val="TableContents"/>
              <w:bidi w:val="0"/>
              <w:spacing w:before="0" w:after="283"/>
              <w:jc w:val="left"/>
              <w:rPr/>
            </w:pPr>
            <w:r>
              <w:rPr/>
              <w:t>Currency exchange gain/(loss)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149,352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(399,575</w:t>
            </w:r>
          </w:p>
        </w:tc>
        <w:tc>
          <w:tcPr>
            <w:tcW w:w="136" w:type="dxa"/>
            <w:tcBorders/>
            <w:shd w:fill="CCEEFF" w:val="clear"/>
            <w:vAlign w:val="center"/>
          </w:tcPr>
          <w:p>
            <w:pPr>
              <w:pStyle w:val="TableContents"/>
              <w:bidi w:val="0"/>
              <w:spacing w:before="0" w:after="283"/>
              <w:ind w:left="0" w:right="0" w:hanging="200"/>
              <w:jc w:val="left"/>
              <w:rPr/>
            </w:pPr>
            <w:r>
              <w:rPr/>
              <w:t>)</w:t>
            </w:r>
            <w:bookmarkStart w:id="120" w:name="xdx_40F_eus-gaap--OtherIncome_i01_maNIEz"/>
            <w:bookmarkEnd w:id="120"/>
          </w:p>
        </w:tc>
      </w:tr>
      <w:tr>
        <w:trPr/>
        <w:tc>
          <w:tcPr>
            <w:tcW w:w="6737"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186,949</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131,697</w:t>
            </w:r>
          </w:p>
        </w:tc>
        <w:tc>
          <w:tcPr>
            <w:tcW w:w="136" w:type="dxa"/>
            <w:tcBorders/>
            <w:shd w:fill="FFFFFF" w:val="clear"/>
            <w:vAlign w:val="center"/>
          </w:tcPr>
          <w:p>
            <w:pPr>
              <w:pStyle w:val="TableContents"/>
              <w:bidi w:val="0"/>
              <w:spacing w:before="0" w:after="283"/>
              <w:ind w:left="0" w:right="0" w:hanging="200"/>
              <w:jc w:val="left"/>
              <w:rPr/>
            </w:pPr>
            <w:r>
              <w:rPr/>
              <w:t> </w:t>
            </w:r>
            <w:bookmarkStart w:id="121" w:name="xdx_404_eus-gaap--NonoperatingIncomeExpe"/>
            <w:bookmarkEnd w:id="121"/>
          </w:p>
        </w:tc>
      </w:tr>
      <w:tr>
        <w:trPr/>
        <w:tc>
          <w:tcPr>
            <w:tcW w:w="6737" w:type="dxa"/>
            <w:tcBorders/>
            <w:shd w:fill="CCEEFF" w:val="clear"/>
            <w:vAlign w:val="center"/>
          </w:tcPr>
          <w:p>
            <w:pPr>
              <w:pStyle w:val="TableContents"/>
              <w:bidi w:val="0"/>
              <w:spacing w:before="0" w:after="283"/>
              <w:jc w:val="left"/>
              <w:rPr>
                <w:b/>
              </w:rPr>
            </w:pPr>
            <w:r>
              <w:rPr>
                <w:b/>
              </w:rPr>
              <w:t>Total other income, net</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1,910,538</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1,373,915</w:t>
            </w:r>
          </w:p>
        </w:tc>
        <w:tc>
          <w:tcPr>
            <w:tcW w:w="136" w:type="dxa"/>
            <w:tcBorders/>
            <w:shd w:fill="CCEEFF" w:val="clear"/>
            <w:vAlign w:val="center"/>
          </w:tcPr>
          <w:p>
            <w:pPr>
              <w:pStyle w:val="TableContents"/>
              <w:bidi w:val="0"/>
              <w:spacing w:before="0" w:after="283"/>
              <w:ind w:left="0" w:right="0" w:hanging="200"/>
              <w:jc w:val="left"/>
              <w:rPr/>
            </w:pPr>
            <w:r>
              <w:rPr/>
              <w:t> </w:t>
            </w:r>
          </w:p>
        </w:tc>
      </w:tr>
      <w:tr>
        <w:trPr/>
        <w:tc>
          <w:tcPr>
            <w:tcW w:w="6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ind w:left="0" w:right="0" w:hanging="200"/>
              <w:jc w:val="left"/>
              <w:rPr/>
            </w:pPr>
            <w:r>
              <w:rPr/>
              <w:t> </w:t>
            </w:r>
            <w:bookmarkStart w:id="122" w:name="xdx_408_eus-gaap--IncomeLossFromContinui"/>
            <w:bookmarkEnd w:id="122"/>
          </w:p>
        </w:tc>
      </w:tr>
      <w:tr>
        <w:trPr/>
        <w:tc>
          <w:tcPr>
            <w:tcW w:w="6737" w:type="dxa"/>
            <w:tcBorders/>
            <w:shd w:fill="CCEEFF" w:val="clear"/>
            <w:vAlign w:val="center"/>
          </w:tcPr>
          <w:p>
            <w:pPr>
              <w:pStyle w:val="TableContents"/>
              <w:bidi w:val="0"/>
              <w:spacing w:before="0" w:after="283"/>
              <w:jc w:val="left"/>
              <w:rPr>
                <w:b/>
              </w:rPr>
            </w:pPr>
            <w:r>
              <w:rPr>
                <w:b/>
              </w:rPr>
              <w:t>Income before income tax provision</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b/>
              </w:rPr>
            </w:pPr>
            <w:r>
              <w:rPr>
                <w:b/>
              </w:rPr>
              <w:t>7,771,875</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b/>
              </w:rPr>
            </w:pPr>
            <w:r>
              <w:rPr>
                <w:b/>
              </w:rPr>
              <w:t>7,030,303</w:t>
            </w:r>
          </w:p>
        </w:tc>
        <w:tc>
          <w:tcPr>
            <w:tcW w:w="136" w:type="dxa"/>
            <w:tcBorders/>
            <w:shd w:fill="CCEEFF" w:val="clear"/>
            <w:vAlign w:val="center"/>
          </w:tcPr>
          <w:p>
            <w:pPr>
              <w:pStyle w:val="TableContents"/>
              <w:bidi w:val="0"/>
              <w:spacing w:before="0" w:after="283"/>
              <w:ind w:left="0" w:right="0" w:hanging="200"/>
              <w:jc w:val="left"/>
              <w:rPr/>
            </w:pPr>
            <w:r>
              <w:rPr/>
              <w:t> </w:t>
            </w:r>
            <w:bookmarkStart w:id="123" w:name="xdx_406_eus-gaap--IncomeTaxExpenseBenefi"/>
            <w:bookmarkEnd w:id="123"/>
          </w:p>
        </w:tc>
      </w:tr>
      <w:tr>
        <w:trPr/>
        <w:tc>
          <w:tcPr>
            <w:tcW w:w="6737"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(1,931,362</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(1,789,902</w:t>
            </w:r>
          </w:p>
        </w:tc>
        <w:tc>
          <w:tcPr>
            <w:tcW w:w="136" w:type="dxa"/>
            <w:tcBorders/>
            <w:shd w:fill="FFFFFF" w:val="clear"/>
            <w:vAlign w:val="center"/>
          </w:tcPr>
          <w:p>
            <w:pPr>
              <w:pStyle w:val="TableContents"/>
              <w:bidi w:val="0"/>
              <w:spacing w:before="0" w:after="283"/>
              <w:ind w:left="0" w:right="0" w:hanging="200"/>
              <w:jc w:val="left"/>
              <w:rPr/>
            </w:pPr>
            <w:r>
              <w:rPr/>
              <w:t>)</w:t>
            </w:r>
            <w:bookmarkStart w:id="124" w:name="xdx_40E_eus-gaap--IncomeLossFromContinui"/>
            <w:bookmarkEnd w:id="124"/>
          </w:p>
        </w:tc>
      </w:tr>
      <w:tr>
        <w:trPr/>
        <w:tc>
          <w:tcPr>
            <w:tcW w:w="6737"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5,840,513</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5,240,401</w:t>
            </w:r>
          </w:p>
        </w:tc>
        <w:tc>
          <w:tcPr>
            <w:tcW w:w="136" w:type="dxa"/>
            <w:tcBorders/>
            <w:shd w:fill="CCEEFF" w:val="clear"/>
            <w:vAlign w:val="center"/>
          </w:tcPr>
          <w:p>
            <w:pPr>
              <w:pStyle w:val="TableContents"/>
              <w:bidi w:val="0"/>
              <w:spacing w:before="0" w:after="283"/>
              <w:ind w:left="0" w:right="0" w:hanging="200"/>
              <w:jc w:val="left"/>
              <w:rPr/>
            </w:pPr>
            <w:r>
              <w:rPr/>
              <w:t> </w:t>
            </w:r>
            <w:bookmarkStart w:id="125" w:name="xdx_409_eus-gaap--NetIncomeLossAttributa"/>
            <w:bookmarkEnd w:id="125"/>
          </w:p>
        </w:tc>
      </w:tr>
      <w:tr>
        <w:trPr/>
        <w:tc>
          <w:tcPr>
            <w:tcW w:w="6737" w:type="dxa"/>
            <w:tcBorders/>
            <w:shd w:fill="FFFFFF" w:val="clear"/>
            <w:vAlign w:val="center"/>
          </w:tcPr>
          <w:p>
            <w:pPr>
              <w:pStyle w:val="TableContents"/>
              <w:bidi w:val="0"/>
              <w:spacing w:before="0" w:after="283"/>
              <w:jc w:val="left"/>
              <w:rPr/>
            </w:pPr>
            <w:r>
              <w:rPr/>
              <w:t>Less: 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(10,569</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(4,941</w:t>
            </w:r>
          </w:p>
        </w:tc>
        <w:tc>
          <w:tcPr>
            <w:tcW w:w="136" w:type="dxa"/>
            <w:tcBorders/>
            <w:shd w:fill="FFFFFF" w:val="clear"/>
            <w:vAlign w:val="center"/>
          </w:tcPr>
          <w:p>
            <w:pPr>
              <w:pStyle w:val="TableContents"/>
              <w:bidi w:val="0"/>
              <w:spacing w:before="0" w:after="283"/>
              <w:ind w:left="0" w:right="0" w:hanging="200"/>
              <w:jc w:val="left"/>
              <w:rPr/>
            </w:pPr>
            <w:r>
              <w:rPr/>
              <w:t>)</w:t>
            </w:r>
            <w:bookmarkStart w:id="126" w:name="xdx_404_eus-gaap--NetIncomeLossAvailable"/>
            <w:bookmarkEnd w:id="126"/>
          </w:p>
        </w:tc>
      </w:tr>
      <w:tr>
        <w:trPr/>
        <w:tc>
          <w:tcPr>
            <w:tcW w:w="6737" w:type="dxa"/>
            <w:tcBorders/>
            <w:shd w:fill="CCEEFF" w:val="clear"/>
            <w:vAlign w:val="center"/>
          </w:tcPr>
          <w:p>
            <w:pPr>
              <w:pStyle w:val="TableContents"/>
              <w:bidi w:val="0"/>
              <w:spacing w:before="0" w:after="283"/>
              <w:jc w:val="left"/>
              <w:rPr>
                <w:b/>
              </w:rPr>
            </w:pPr>
            <w:r>
              <w:rPr>
                <w:b/>
              </w:rPr>
              <w:t>Net income attributable to ZJK Industrial Co., Ltd.’s shareholders</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5,851,082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5,245,342</w:t>
            </w:r>
          </w:p>
        </w:tc>
        <w:tc>
          <w:tcPr>
            <w:tcW w:w="136" w:type="dxa"/>
            <w:tcBorders/>
            <w:shd w:fill="CCEEFF" w:val="clear"/>
            <w:vAlign w:val="center"/>
          </w:tcPr>
          <w:p>
            <w:pPr>
              <w:pStyle w:val="TableContents"/>
              <w:bidi w:val="0"/>
              <w:spacing w:before="0" w:after="283"/>
              <w:ind w:left="0" w:right="0" w:hanging="200"/>
              <w:jc w:val="left"/>
              <w:rPr/>
            </w:pPr>
            <w:r>
              <w:rPr/>
              <w:t> </w:t>
            </w:r>
          </w:p>
        </w:tc>
      </w:tr>
      <w:tr>
        <w:trPr/>
        <w:tc>
          <w:tcPr>
            <w:tcW w:w="6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ind w:left="0" w:right="0" w:hanging="200"/>
              <w:jc w:val="left"/>
              <w:rPr/>
            </w:pPr>
            <w:r>
              <w:rPr/>
              <w:t> </w:t>
            </w:r>
            <w:bookmarkStart w:id="127" w:name="xdx_401_eus-gaap--OtherComprehensiveInco"/>
            <w:bookmarkEnd w:id="127"/>
          </w:p>
        </w:tc>
      </w:tr>
      <w:tr>
        <w:trPr/>
        <w:tc>
          <w:tcPr>
            <w:tcW w:w="6737" w:type="dxa"/>
            <w:tcBorders/>
            <w:shd w:fill="CCEEFF" w:val="clear"/>
            <w:vAlign w:val="center"/>
          </w:tcPr>
          <w:p>
            <w:pPr>
              <w:pStyle w:val="TableContents"/>
              <w:bidi w:val="0"/>
              <w:spacing w:before="0" w:after="283"/>
              <w:jc w:val="left"/>
              <w:rPr>
                <w:b/>
              </w:rPr>
            </w:pPr>
            <w:r>
              <w:rPr>
                <w:b/>
              </w:rPr>
              <w:t>Other comprehensive (loss)/income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ind w:left="0" w:right="0" w:hanging="200"/>
              <w:jc w:val="left"/>
              <w:rPr/>
            </w:pPr>
            <w:r>
              <w:rPr/>
              <w:t> </w:t>
            </w:r>
            <w:bookmarkStart w:id="128" w:name="xdx_409_ecustom--OtherComprehensiveIncom"/>
            <w:bookmarkEnd w:id="128"/>
          </w:p>
        </w:tc>
      </w:tr>
      <w:tr>
        <w:trPr/>
        <w:tc>
          <w:tcPr>
            <w:tcW w:w="6737" w:type="dxa"/>
            <w:tcBorders/>
            <w:shd w:fill="FFFFFF" w:val="clear"/>
            <w:vAlign w:val="center"/>
          </w:tcPr>
          <w:p>
            <w:pPr>
              <w:pStyle w:val="TableContents"/>
              <w:bidi w:val="0"/>
              <w:spacing w:before="0" w:after="283"/>
              <w:jc w:val="left"/>
              <w:rPr/>
            </w:pPr>
            <w:r>
              <w:rPr/>
              <w:t> </w:t>
            </w:r>
            <w:r>
              <w:rPr/>
              <w:t>Foreign currency translation adjustment attributable to parent company</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559,787</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1,309,345</w:t>
            </w:r>
          </w:p>
        </w:tc>
        <w:tc>
          <w:tcPr>
            <w:tcW w:w="136" w:type="dxa"/>
            <w:tcBorders/>
            <w:shd w:fill="FFFFFF" w:val="clear"/>
            <w:vAlign w:val="center"/>
          </w:tcPr>
          <w:p>
            <w:pPr>
              <w:pStyle w:val="TableContents"/>
              <w:bidi w:val="0"/>
              <w:spacing w:before="0" w:after="283"/>
              <w:ind w:left="0" w:right="0" w:hanging="200"/>
              <w:jc w:val="left"/>
              <w:rPr/>
            </w:pPr>
            <w:r>
              <w:rPr/>
              <w:t> </w:t>
            </w:r>
            <w:bookmarkStart w:id="129" w:name="xdx_40B_eus-gaap--OtherComprehensiveInco"/>
            <w:bookmarkEnd w:id="129"/>
          </w:p>
        </w:tc>
      </w:tr>
      <w:tr>
        <w:trPr/>
        <w:tc>
          <w:tcPr>
            <w:tcW w:w="6737" w:type="dxa"/>
            <w:tcBorders/>
            <w:shd w:fill="CCEEFF" w:val="clear"/>
            <w:vAlign w:val="center"/>
          </w:tcPr>
          <w:p>
            <w:pPr>
              <w:pStyle w:val="TableContents"/>
              <w:bidi w:val="0"/>
              <w:spacing w:before="0" w:after="283"/>
              <w:jc w:val="left"/>
              <w:rPr/>
            </w:pPr>
            <w:r>
              <w:rPr/>
              <w:t> </w:t>
            </w:r>
            <w:r>
              <w:rPr/>
              <w:t>Foreign currency translation adjustment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pPr>
            <w:r>
              <w:rPr/>
              <w:t>717</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pPr>
            <w:r>
              <w:rPr/>
              <w:t>(876</w:t>
            </w:r>
          </w:p>
        </w:tc>
        <w:tc>
          <w:tcPr>
            <w:tcW w:w="136" w:type="dxa"/>
            <w:tcBorders/>
            <w:shd w:fill="CCEEFF" w:val="clear"/>
            <w:vAlign w:val="center"/>
          </w:tcPr>
          <w:p>
            <w:pPr>
              <w:pStyle w:val="TableContents"/>
              <w:bidi w:val="0"/>
              <w:spacing w:before="0" w:after="283"/>
              <w:ind w:left="0" w:right="0" w:hanging="200"/>
              <w:jc w:val="left"/>
              <w:rPr/>
            </w:pPr>
            <w:r>
              <w:rPr/>
              <w:t>)</w:t>
            </w:r>
            <w:bookmarkStart w:id="130" w:name="xdx_403_eus-gaap--ComprehensiveIncomeNet"/>
            <w:bookmarkEnd w:id="130"/>
          </w:p>
        </w:tc>
      </w:tr>
      <w:tr>
        <w:trPr/>
        <w:tc>
          <w:tcPr>
            <w:tcW w:w="6737"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6,411,586</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6,553,811</w:t>
            </w:r>
          </w:p>
        </w:tc>
        <w:tc>
          <w:tcPr>
            <w:tcW w:w="136" w:type="dxa"/>
            <w:tcBorders/>
            <w:shd w:fill="FFFFFF" w:val="clear"/>
            <w:vAlign w:val="center"/>
          </w:tcPr>
          <w:p>
            <w:pPr>
              <w:pStyle w:val="TableContents"/>
              <w:bidi w:val="0"/>
              <w:spacing w:before="0" w:after="283"/>
              <w:ind w:left="0" w:right="0" w:hanging="200"/>
              <w:jc w:val="left"/>
              <w:rPr/>
            </w:pPr>
            <w:r>
              <w:rPr/>
              <w:t> </w:t>
            </w:r>
            <w:bookmarkStart w:id="131" w:name="xdx_400_eus-gaap--OtherComprehensiveInco"/>
            <w:bookmarkEnd w:id="131"/>
          </w:p>
        </w:tc>
      </w:tr>
      <w:tr>
        <w:trPr/>
        <w:tc>
          <w:tcPr>
            <w:tcW w:w="6737" w:type="dxa"/>
            <w:tcBorders/>
            <w:shd w:fill="CCEEFF" w:val="clear"/>
            <w:vAlign w:val="center"/>
          </w:tcPr>
          <w:p>
            <w:pPr>
              <w:pStyle w:val="TableContents"/>
              <w:bidi w:val="0"/>
              <w:spacing w:before="0" w:after="283"/>
              <w:jc w:val="left"/>
              <w:rPr/>
            </w:pPr>
            <w:r>
              <w:rPr/>
              <w:t>Comprehensive income/(loss)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(9,852</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(5,817</w:t>
            </w:r>
          </w:p>
        </w:tc>
        <w:tc>
          <w:tcPr>
            <w:tcW w:w="136" w:type="dxa"/>
            <w:tcBorders/>
            <w:shd w:fill="CCEEFF" w:val="clear"/>
            <w:vAlign w:val="center"/>
          </w:tcPr>
          <w:p>
            <w:pPr>
              <w:pStyle w:val="TableContents"/>
              <w:bidi w:val="0"/>
              <w:spacing w:before="0" w:after="283"/>
              <w:ind w:left="0" w:right="0" w:hanging="200"/>
              <w:jc w:val="left"/>
              <w:rPr/>
            </w:pPr>
            <w:r>
              <w:rPr/>
              <w:t>)</w:t>
            </w:r>
            <w:bookmarkStart w:id="132" w:name="xdx_405_eus-gaap--ComprehensiveIncomeNet"/>
            <w:bookmarkEnd w:id="132"/>
          </w:p>
        </w:tc>
      </w:tr>
      <w:tr>
        <w:trPr/>
        <w:tc>
          <w:tcPr>
            <w:tcW w:w="6737" w:type="dxa"/>
            <w:tcBorders/>
            <w:shd w:fill="FFFFFF" w:val="clear"/>
            <w:vAlign w:val="center"/>
          </w:tcPr>
          <w:p>
            <w:pPr>
              <w:pStyle w:val="TableContents"/>
              <w:bidi w:val="0"/>
              <w:spacing w:before="0" w:after="283"/>
              <w:jc w:val="left"/>
              <w:rPr/>
            </w:pPr>
            <w:r>
              <w:rPr/>
              <w:t>Comprehensive income attributable to ZJK Industrial Co., Ltd.’s shareholders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6,401,734</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6,547,994</w:t>
            </w:r>
          </w:p>
        </w:tc>
        <w:tc>
          <w:tcPr>
            <w:tcW w:w="136" w:type="dxa"/>
            <w:tcBorders/>
            <w:shd w:fill="FFFFFF" w:val="clear"/>
            <w:vAlign w:val="center"/>
          </w:tcPr>
          <w:p>
            <w:pPr>
              <w:pStyle w:val="TableContents"/>
              <w:bidi w:val="0"/>
              <w:spacing w:before="0" w:after="283"/>
              <w:ind w:left="0" w:right="0" w:hanging="200"/>
              <w:jc w:val="left"/>
              <w:rPr/>
            </w:pPr>
            <w:r>
              <w:rPr/>
              <w:t> </w:t>
            </w:r>
          </w:p>
        </w:tc>
      </w:tr>
      <w:tr>
        <w:trPr/>
        <w:tc>
          <w:tcPr>
            <w:tcW w:w="67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ind w:left="0" w:right="0" w:hanging="200"/>
              <w:jc w:val="left"/>
              <w:rPr/>
            </w:pPr>
            <w:r>
              <w:rPr/>
              <w:t> </w:t>
            </w:r>
            <w:bookmarkStart w:id="133" w:name="xdx_40E_eus-gaap--EarningsPerShareAbstra"/>
            <w:bookmarkEnd w:id="133"/>
          </w:p>
        </w:tc>
      </w:tr>
      <w:tr>
        <w:trPr/>
        <w:tc>
          <w:tcPr>
            <w:tcW w:w="6737" w:type="dxa"/>
            <w:tcBorders/>
            <w:shd w:fill="FFFFFF" w:val="clear"/>
            <w:vAlign w:val="center"/>
          </w:tcPr>
          <w:p>
            <w:pPr>
              <w:pStyle w:val="TableContents"/>
              <w:bidi w:val="0"/>
              <w:spacing w:before="0" w:after="283"/>
              <w:jc w:val="left"/>
              <w:rPr>
                <w:b/>
              </w:rPr>
            </w:pPr>
            <w:r>
              <w:rPr>
                <w:b/>
              </w:rPr>
              <w:t>Earnings per share*</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ind w:left="0" w:right="0" w:hanging="200"/>
              <w:jc w:val="left"/>
              <w:rPr/>
            </w:pPr>
            <w:r>
              <w:rPr/>
              <w:t> </w:t>
            </w:r>
            <w:bookmarkStart w:id="134" w:name="xdx_403_eus-gaap--EarningsPerShareBasic_"/>
            <w:bookmarkEnd w:id="134"/>
          </w:p>
        </w:tc>
      </w:tr>
      <w:tr>
        <w:trPr/>
        <w:tc>
          <w:tcPr>
            <w:tcW w:w="6737"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0.10</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0.08</w:t>
            </w:r>
          </w:p>
        </w:tc>
        <w:tc>
          <w:tcPr>
            <w:tcW w:w="136" w:type="dxa"/>
            <w:tcBorders/>
            <w:shd w:fill="CCEEFF" w:val="clear"/>
            <w:vAlign w:val="center"/>
          </w:tcPr>
          <w:p>
            <w:pPr>
              <w:pStyle w:val="TableContents"/>
              <w:bidi w:val="0"/>
              <w:spacing w:before="0" w:after="283"/>
              <w:ind w:left="0" w:right="0" w:hanging="200"/>
              <w:jc w:val="left"/>
              <w:rPr/>
            </w:pPr>
            <w:r>
              <w:rPr/>
              <w:t> </w:t>
            </w:r>
            <w:bookmarkStart w:id="135" w:name="xdx_40B_eus-gaap--EarningsPerShareDilute"/>
            <w:bookmarkEnd w:id="135"/>
          </w:p>
        </w:tc>
      </w:tr>
      <w:tr>
        <w:trPr/>
        <w:tc>
          <w:tcPr>
            <w:tcW w:w="6737"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0.10</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0.08</w:t>
            </w:r>
          </w:p>
        </w:tc>
        <w:tc>
          <w:tcPr>
            <w:tcW w:w="136" w:type="dxa"/>
            <w:tcBorders/>
            <w:shd w:fill="FFFFFF" w:val="clear"/>
            <w:vAlign w:val="center"/>
          </w:tcPr>
          <w:p>
            <w:pPr>
              <w:pStyle w:val="TableContents"/>
              <w:bidi w:val="0"/>
              <w:spacing w:before="0" w:after="283"/>
              <w:ind w:left="0" w:right="0" w:hanging="200"/>
              <w:jc w:val="left"/>
              <w:rPr/>
            </w:pPr>
            <w:r>
              <w:rPr/>
              <w:t> </w:t>
            </w:r>
          </w:p>
        </w:tc>
      </w:tr>
      <w:tr>
        <w:trPr/>
        <w:tc>
          <w:tcPr>
            <w:tcW w:w="67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ind w:left="0" w:right="0" w:hanging="200"/>
              <w:jc w:val="left"/>
              <w:rPr/>
            </w:pPr>
            <w:r>
              <w:rPr/>
              <w:t> </w:t>
            </w:r>
            <w:bookmarkStart w:id="136" w:name="xdx_401_eus-gaap--WeightedAverageNumberO"/>
            <w:bookmarkEnd w:id="136"/>
          </w:p>
        </w:tc>
      </w:tr>
      <w:tr>
        <w:trPr/>
        <w:tc>
          <w:tcPr>
            <w:tcW w:w="6737" w:type="dxa"/>
            <w:tcBorders/>
            <w:shd w:fill="FFFFFF" w:val="clear"/>
            <w:vAlign w:val="center"/>
          </w:tcPr>
          <w:p>
            <w:pPr>
              <w:pStyle w:val="TableContents"/>
              <w:bidi w:val="0"/>
              <w:spacing w:before="0" w:after="283"/>
              <w:jc w:val="left"/>
              <w:rPr>
                <w:b/>
              </w:rPr>
            </w:pPr>
            <w:r>
              <w:rPr>
                <w:b/>
              </w:rPr>
              <w:t>Weighted average shares used in calculating earnings per share*</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ind w:left="0" w:right="0" w:hanging="200"/>
              <w:jc w:val="left"/>
              <w:rPr/>
            </w:pPr>
            <w:r>
              <w:rPr/>
              <w:t> </w:t>
            </w:r>
            <w:bookmarkStart w:id="137" w:name="xdx_405_eus-gaap--WeightedAverageNumberO"/>
            <w:bookmarkEnd w:id="137"/>
          </w:p>
        </w:tc>
      </w:tr>
      <w:tr>
        <w:trPr/>
        <w:tc>
          <w:tcPr>
            <w:tcW w:w="6737"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61,490,641</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64,283,575</w:t>
            </w:r>
          </w:p>
        </w:tc>
        <w:tc>
          <w:tcPr>
            <w:tcW w:w="136" w:type="dxa"/>
            <w:tcBorders/>
            <w:shd w:fill="CCEEFF" w:val="clear"/>
            <w:vAlign w:val="center"/>
          </w:tcPr>
          <w:p>
            <w:pPr>
              <w:pStyle w:val="TableContents"/>
              <w:bidi w:val="0"/>
              <w:spacing w:before="0" w:after="283"/>
              <w:ind w:left="0" w:right="0" w:hanging="200"/>
              <w:jc w:val="left"/>
              <w:rPr/>
            </w:pPr>
            <w:r>
              <w:rPr/>
              <w:t> </w:t>
            </w:r>
            <w:bookmarkStart w:id="138" w:name="xdx_40A_eus-gaap--WeightedAverageNumberO"/>
            <w:bookmarkEnd w:id="138"/>
          </w:p>
        </w:tc>
      </w:tr>
      <w:tr>
        <w:trPr/>
        <w:tc>
          <w:tcPr>
            <w:tcW w:w="6737"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61,510,641</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64,283,575</w:t>
            </w:r>
          </w:p>
        </w:tc>
        <w:tc>
          <w:tcPr>
            <w:tcW w:w="136"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The shares and per share information are presented on a retroactive basis to reflect the reorganization completed on March 28, 2023 and the two share splits that occurred on June 19, 2023 and June 6, 2024, respectively (Note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F-3</w:t>
      </w:r>
    </w:p>
    <w:p>
      <w:pPr>
        <w:pStyle w:val="TextBody"/>
        <w:bidi w:val="0"/>
        <w:spacing w:before="0" w:after="0"/>
        <w:ind w:left="0" w:right="0" w:hanging="0"/>
        <w:jc w:val="left"/>
        <w:rPr/>
      </w:pPr>
      <w:r>
        <w:rPr/>
        <w:t> </w:t>
      </w:r>
    </w:p>
    <w:p>
      <w:pPr>
        <w:pStyle w:val="TextBody"/>
        <w:bidi w:val="0"/>
        <w:jc w:val="center"/>
        <w:rPr/>
      </w:pPr>
      <w:r>
        <w:rPr/>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i w:val="false"/>
          <w:caps w:val="false"/>
          <w:smallCaps w:val="false"/>
          <w:sz w:val="20"/>
        </w:rPr>
      </w:pPr>
      <w:bookmarkStart w:id="139" w:name="a_003"/>
      <w:bookmarkEnd w:id="139"/>
      <w:r>
        <w:rPr>
          <w:rFonts w:ascii="Times New Roman;Times;Serif" w:hAnsi="Times New Roman;Times;Serif"/>
          <w:b/>
          <w:i w:val="false"/>
          <w:caps w:val="false"/>
          <w:smallCaps w:val="false"/>
          <w:sz w:val="20"/>
        </w:rPr>
        <w:t>UNAUDITED CONDENSED CONSOLIDATED STATEMENTS OF CHANGES IN SHAREHOLDERS’ EQUITY</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for the number of shares data)</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0" w:name="xdx_305_114_zouvEYXiqlI9"/>
      <w:bookmarkStart w:id="141" w:name="xdx_305_114_zouvEYXiqlI9"/>
      <w:bookmarkEnd w:id="141"/>
    </w:p>
    <w:tbl>
      <w:tblPr>
        <w:tblW w:w="17835" w:type="dxa"/>
        <w:jc w:val="left"/>
        <w:tblInd w:w="0" w:type="dxa"/>
        <w:tblLayout w:type="fixed"/>
        <w:tblCellMar>
          <w:top w:w="0" w:type="dxa"/>
          <w:left w:w="0" w:type="dxa"/>
          <w:bottom w:w="0" w:type="dxa"/>
          <w:right w:w="0" w:type="dxa"/>
        </w:tblCellMar>
      </w:tblPr>
      <w:tblGrid>
        <w:gridCol w:w="1490"/>
        <w:gridCol w:w="60"/>
        <w:gridCol w:w="60"/>
        <w:gridCol w:w="1175"/>
        <w:gridCol w:w="95"/>
        <w:gridCol w:w="60"/>
        <w:gridCol w:w="65"/>
        <w:gridCol w:w="691"/>
        <w:gridCol w:w="104"/>
        <w:gridCol w:w="60"/>
        <w:gridCol w:w="60"/>
        <w:gridCol w:w="1100"/>
        <w:gridCol w:w="60"/>
        <w:gridCol w:w="60"/>
        <w:gridCol w:w="103"/>
        <w:gridCol w:w="653"/>
        <w:gridCol w:w="104"/>
        <w:gridCol w:w="60"/>
        <w:gridCol w:w="60"/>
        <w:gridCol w:w="980"/>
        <w:gridCol w:w="60"/>
        <w:gridCol w:w="60"/>
        <w:gridCol w:w="103"/>
        <w:gridCol w:w="653"/>
        <w:gridCol w:w="104"/>
        <w:gridCol w:w="60"/>
        <w:gridCol w:w="60"/>
        <w:gridCol w:w="1100"/>
        <w:gridCol w:w="60"/>
        <w:gridCol w:w="60"/>
        <w:gridCol w:w="60"/>
        <w:gridCol w:w="980"/>
        <w:gridCol w:w="60"/>
        <w:gridCol w:w="60"/>
        <w:gridCol w:w="60"/>
        <w:gridCol w:w="1100"/>
        <w:gridCol w:w="60"/>
        <w:gridCol w:w="60"/>
        <w:gridCol w:w="76"/>
        <w:gridCol w:w="1338"/>
        <w:gridCol w:w="121"/>
        <w:gridCol w:w="60"/>
        <w:gridCol w:w="68"/>
        <w:gridCol w:w="1262"/>
        <w:gridCol w:w="70"/>
        <w:gridCol w:w="60"/>
        <w:gridCol w:w="102"/>
        <w:gridCol w:w="1361"/>
        <w:gridCol w:w="162"/>
        <w:gridCol w:w="60"/>
        <w:gridCol w:w="60"/>
        <w:gridCol w:w="1100"/>
        <w:gridCol w:w="75"/>
      </w:tblGrid>
      <w:tr>
        <w:trPr/>
        <w:tc>
          <w:tcPr>
            <w:tcW w:w="1490" w:type="dxa"/>
            <w:tcBorders/>
            <w:shd w:fill="FFFFFF" w:val="clear"/>
            <w:vAlign w:val="center"/>
          </w:tcPr>
          <w:p>
            <w:pPr>
              <w:pStyle w:val="TableContents"/>
              <w:bidi w:val="0"/>
              <w:spacing w:before="0" w:after="283"/>
              <w:ind w:left="0" w:right="0" w:hanging="2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42" w:name="xdx_4BE_us-gaap--StatementEquityComponen"/>
            <w:bookmarkEnd w:id="142"/>
          </w:p>
        </w:tc>
        <w:tc>
          <w:tcPr>
            <w:tcW w:w="691"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143" w:name="xdx_4B6_us-gaap--StatementEquityComponen"/>
            <w:bookmarkEnd w:id="143"/>
          </w:p>
        </w:tc>
        <w:tc>
          <w:tcPr>
            <w:tcW w:w="653"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144" w:name="xdx_4B6_us-gaap--StatementEquityComponen"/>
            <w:bookmarkEnd w:id="144"/>
          </w:p>
        </w:tc>
        <w:tc>
          <w:tcPr>
            <w:tcW w:w="653"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5" w:name="xdx_4B4_us-gaap--StatementEquityComponen"/>
            <w:bookmarkEnd w:id="145"/>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6" w:name="xdx_4B5_us-gaap--StatementEquityComponen"/>
            <w:bookmarkEnd w:id="146"/>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7" w:name="xdx_4BA_us-gaap--StatementEquityComponen"/>
            <w:bookmarkEnd w:id="147"/>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148" w:name="xdx_4B1_us-gaap--StatementEquityComponen"/>
            <w:bookmarkEnd w:id="148"/>
          </w:p>
        </w:tc>
        <w:tc>
          <w:tcPr>
            <w:tcW w:w="1338"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49" w:name="xdx_4BC_us-gaap--StatementEquityComponen"/>
            <w:bookmarkEnd w:id="149"/>
          </w:p>
        </w:tc>
        <w:tc>
          <w:tcPr>
            <w:tcW w:w="1262"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150" w:name="xdx_4B3_us-gaap--StatementEquityComponen"/>
            <w:bookmarkEnd w:id="150"/>
          </w:p>
        </w:tc>
        <w:tc>
          <w:tcPr>
            <w:tcW w:w="1361"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1" w:name="xdx_4BE_z5YuyBuq3Su9"/>
            <w:bookmarkEnd w:id="151"/>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5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214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Class A Ordinary Shares</w:t>
            </w:r>
          </w:p>
        </w:tc>
        <w:tc>
          <w:tcPr>
            <w:tcW w:w="60" w:type="dxa"/>
            <w:tcBorders/>
            <w:vAlign w:val="center"/>
          </w:tcPr>
          <w:p>
            <w:pPr>
              <w:pStyle w:val="TableContents"/>
              <w:bidi w:val="0"/>
              <w:spacing w:before="0" w:after="283"/>
              <w:jc w:val="left"/>
              <w:rPr/>
            </w:pPr>
            <w:r>
              <w:rPr/>
              <w:t> </w:t>
            </w:r>
          </w:p>
        </w:tc>
        <w:tc>
          <w:tcPr>
            <w:tcW w:w="202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Class B Ordinary Shares</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Additional paid-in capital</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Statutory surplus reserves</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Retained earnings</w:t>
            </w:r>
          </w:p>
        </w:tc>
        <w:tc>
          <w:tcPr>
            <w:tcW w:w="60" w:type="dxa"/>
            <w:tcBorders/>
            <w:vAlign w:val="center"/>
          </w:tcPr>
          <w:p>
            <w:pPr>
              <w:pStyle w:val="TableContents"/>
              <w:bidi w:val="0"/>
              <w:spacing w:before="0" w:after="283"/>
              <w:jc w:val="left"/>
              <w:rPr/>
            </w:pPr>
            <w:r>
              <w:rPr/>
              <w:t> </w:t>
            </w:r>
          </w:p>
        </w:tc>
        <w:tc>
          <w:tcPr>
            <w:tcW w:w="15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Accumulated other comprehensive (loss) income</w:t>
            </w:r>
          </w:p>
        </w:tc>
        <w:tc>
          <w:tcPr>
            <w:tcW w:w="60" w:type="dxa"/>
            <w:tcBorders/>
            <w:vAlign w:val="center"/>
          </w:tcPr>
          <w:p>
            <w:pPr>
              <w:pStyle w:val="TableContents"/>
              <w:bidi w:val="0"/>
              <w:spacing w:before="0" w:after="283"/>
              <w:jc w:val="left"/>
              <w:rPr/>
            </w:pPr>
            <w:r>
              <w:rPr/>
              <w:t> </w:t>
            </w:r>
          </w:p>
        </w:tc>
        <w:tc>
          <w:tcPr>
            <w:tcW w:w="14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 ZJK Industrial Co., Ltd shareholders’ equity</w:t>
            </w:r>
          </w:p>
        </w:tc>
        <w:tc>
          <w:tcPr>
            <w:tcW w:w="60" w:type="dxa"/>
            <w:tcBorders/>
            <w:vAlign w:val="center"/>
          </w:tcPr>
          <w:p>
            <w:pPr>
              <w:pStyle w:val="TableContents"/>
              <w:bidi w:val="0"/>
              <w:spacing w:before="0" w:after="283"/>
              <w:jc w:val="left"/>
              <w:rPr/>
            </w:pPr>
            <w:r>
              <w:rPr/>
              <w:t> </w:t>
            </w:r>
          </w:p>
        </w:tc>
        <w:tc>
          <w:tcPr>
            <w:tcW w:w="16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Non-controlling interests</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Total shareholders’ equity</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 *</w:t>
            </w:r>
          </w:p>
        </w:tc>
        <w:tc>
          <w:tcPr>
            <w:tcW w:w="60" w:type="dxa"/>
            <w:tcBorders/>
            <w:vAlign w:val="center"/>
          </w:tcPr>
          <w:p>
            <w:pPr>
              <w:pStyle w:val="TableContents"/>
              <w:bidi w:val="0"/>
              <w:spacing w:before="0" w:after="283"/>
              <w:jc w:val="left"/>
              <w:rPr/>
            </w:pPr>
            <w:r>
              <w:rPr/>
              <w:t> </w:t>
            </w:r>
          </w:p>
        </w:tc>
        <w:tc>
          <w:tcPr>
            <w:tcW w:w="8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 **</w:t>
            </w:r>
          </w:p>
        </w:tc>
        <w:tc>
          <w:tcPr>
            <w:tcW w:w="60" w:type="dxa"/>
            <w:tcBorders/>
            <w:vAlign w:val="center"/>
          </w:tcPr>
          <w:p>
            <w:pPr>
              <w:pStyle w:val="TableContents"/>
              <w:bidi w:val="0"/>
              <w:spacing w:before="0" w:after="283"/>
              <w:jc w:val="left"/>
              <w:rPr/>
            </w:pPr>
            <w:r>
              <w:rPr/>
              <w:t> </w:t>
            </w:r>
          </w:p>
        </w:tc>
        <w:tc>
          <w:tcPr>
            <w:tcW w:w="8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 **</w:t>
            </w:r>
          </w:p>
        </w:tc>
        <w:tc>
          <w:tcPr>
            <w:tcW w:w="60" w:type="dxa"/>
            <w:tcBorders/>
            <w:vAlign w:val="center"/>
          </w:tcPr>
          <w:p>
            <w:pPr>
              <w:pStyle w:val="TableContents"/>
              <w:bidi w:val="0"/>
              <w:spacing w:before="0" w:after="283"/>
              <w:jc w:val="left"/>
              <w:rPr/>
            </w:pPr>
            <w:r>
              <w:rPr/>
              <w:t> </w:t>
            </w:r>
          </w:p>
        </w:tc>
        <w:tc>
          <w:tcPr>
            <w:tcW w:w="8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reserves</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60" w:type="dxa"/>
            <w:tcBorders/>
            <w:vAlign w:val="center"/>
          </w:tcPr>
          <w:p>
            <w:pPr>
              <w:pStyle w:val="TableContents"/>
              <w:bidi w:val="0"/>
              <w:spacing w:before="0" w:after="283"/>
              <w:jc w:val="left"/>
              <w:rPr/>
            </w:pPr>
            <w:r>
              <w:rPr/>
              <w:t> </w:t>
            </w:r>
          </w:p>
        </w:tc>
        <w:tc>
          <w:tcPr>
            <w:tcW w:w="15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60" w:type="dxa"/>
            <w:tcBorders/>
            <w:vAlign w:val="center"/>
          </w:tcPr>
          <w:p>
            <w:pPr>
              <w:pStyle w:val="TableContents"/>
              <w:bidi w:val="0"/>
              <w:spacing w:before="0" w:after="283"/>
              <w:jc w:val="left"/>
              <w:rPr/>
            </w:pPr>
            <w:r>
              <w:rPr/>
              <w:t> </w:t>
            </w:r>
          </w:p>
        </w:tc>
        <w:tc>
          <w:tcPr>
            <w:tcW w:w="14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equity </w:t>
            </w:r>
          </w:p>
        </w:tc>
        <w:tc>
          <w:tcPr>
            <w:tcW w:w="60" w:type="dxa"/>
            <w:tcBorders/>
            <w:vAlign w:val="center"/>
          </w:tcPr>
          <w:p>
            <w:pPr>
              <w:pStyle w:val="TableContents"/>
              <w:bidi w:val="0"/>
              <w:spacing w:before="0" w:after="283"/>
              <w:jc w:val="left"/>
              <w:rPr/>
            </w:pPr>
            <w:r>
              <w:rPr/>
              <w:t> </w:t>
            </w:r>
          </w:p>
        </w:tc>
        <w:tc>
          <w:tcPr>
            <w:tcW w:w="16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interests </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equity</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0" w:type="dxa"/>
            <w:gridSpan w:val="3"/>
            <w:tcBorders/>
            <w:vAlign w:val="center"/>
          </w:tcPr>
          <w:p>
            <w:pPr>
              <w:pStyle w:val="TableContents"/>
              <w:bidi w:val="0"/>
              <w:spacing w:before="0" w:after="283"/>
              <w:jc w:val="center"/>
              <w:rPr>
                <w:b/>
              </w:rPr>
            </w:pPr>
            <w:r>
              <w:rPr>
                <w:b/>
              </w:rPr>
              <w:t>Numbers</w:t>
            </w:r>
          </w:p>
        </w:tc>
        <w:tc>
          <w:tcPr>
            <w:tcW w:w="60" w:type="dxa"/>
            <w:tcBorders/>
            <w:vAlign w:val="center"/>
          </w:tcPr>
          <w:p>
            <w:pPr>
              <w:pStyle w:val="TableContents"/>
              <w:bidi w:val="0"/>
              <w:spacing w:before="0" w:after="283"/>
              <w:jc w:val="left"/>
              <w:rPr/>
            </w:pPr>
            <w:r>
              <w:rPr/>
              <w:t> </w:t>
            </w:r>
          </w:p>
        </w:tc>
        <w:tc>
          <w:tcPr>
            <w:tcW w:w="86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Numbers</w:t>
            </w:r>
          </w:p>
        </w:tc>
        <w:tc>
          <w:tcPr>
            <w:tcW w:w="60" w:type="dxa"/>
            <w:tcBorders/>
            <w:vAlign w:val="center"/>
          </w:tcPr>
          <w:p>
            <w:pPr>
              <w:pStyle w:val="TableContents"/>
              <w:bidi w:val="0"/>
              <w:spacing w:before="0" w:after="283"/>
              <w:jc w:val="left"/>
              <w:rPr/>
            </w:pPr>
            <w:r>
              <w:rPr/>
              <w:t> </w:t>
            </w:r>
          </w:p>
        </w:tc>
        <w:tc>
          <w:tcPr>
            <w:tcW w:w="86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Numbers</w:t>
            </w:r>
          </w:p>
        </w:tc>
        <w:tc>
          <w:tcPr>
            <w:tcW w:w="60" w:type="dxa"/>
            <w:tcBorders/>
            <w:vAlign w:val="center"/>
          </w:tcPr>
          <w:p>
            <w:pPr>
              <w:pStyle w:val="TableContents"/>
              <w:bidi w:val="0"/>
              <w:spacing w:before="0" w:after="283"/>
              <w:jc w:val="left"/>
              <w:rPr/>
            </w:pPr>
            <w:r>
              <w:rPr/>
              <w:t> </w:t>
            </w:r>
          </w:p>
        </w:tc>
        <w:tc>
          <w:tcPr>
            <w:tcW w:w="86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53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00"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62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ind w:left="0" w:right="0" w:hanging="200"/>
              <w:jc w:val="center"/>
              <w:rPr>
                <w:b/>
              </w:rPr>
            </w:pPr>
            <w:r>
              <w:rPr>
                <w:b/>
              </w:rPr>
              <w:t>$US</w:t>
            </w:r>
            <w:bookmarkStart w:id="152" w:name="xdx_437_c20250101__20250630_eus-gaap--St"/>
            <w:bookmarkEnd w:id="152"/>
          </w:p>
        </w:tc>
      </w:tr>
      <w:tr>
        <w:trPr/>
        <w:tc>
          <w:tcPr>
            <w:tcW w:w="1490" w:type="dxa"/>
            <w:tcBorders/>
            <w:shd w:fill="CCEEFF" w:val="clear"/>
            <w:vAlign w:val="center"/>
          </w:tcPr>
          <w:p>
            <w:pPr>
              <w:pStyle w:val="TableContents"/>
              <w:bidi w:val="0"/>
              <w:spacing w:before="0" w:after="283"/>
              <w:jc w:val="left"/>
              <w:rPr>
                <w:b/>
              </w:rPr>
            </w:pPr>
            <w:r>
              <w:rPr>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3" w:name="xdx_988_eus-gaap--SharesOutstanding_iS_c"/>
            <w:bookmarkEnd w:id="153"/>
          </w:p>
        </w:tc>
        <w:tc>
          <w:tcPr>
            <w:tcW w:w="1175" w:type="dxa"/>
            <w:tcBorders/>
            <w:shd w:fill="CCEEFF" w:val="clear"/>
            <w:vAlign w:val="center"/>
          </w:tcPr>
          <w:p>
            <w:pPr>
              <w:pStyle w:val="TableContents"/>
              <w:bidi w:val="0"/>
              <w:spacing w:before="0" w:after="283"/>
              <w:jc w:val="right"/>
              <w:rPr/>
            </w:pPr>
            <w:r>
              <w:rPr/>
              <w:t>61,381,249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1,023</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 w:name="xdx_98F_eus-gaap--SharesOutstanding_iS_c"/>
            <w:bookmarkEnd w:id="154"/>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5" w:name="xdx_986_eus-gaap--SharesOutstanding_iS_c"/>
            <w:bookmarkEnd w:id="155"/>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7,060,050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2,658,112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21,951,873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(1,635,291</w:t>
            </w:r>
          </w:p>
        </w:tc>
        <w:tc>
          <w:tcPr>
            <w:tcW w:w="12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b/>
              </w:rPr>
            </w:pPr>
            <w:r>
              <w:rPr>
                <w:b/>
              </w:rPr>
              <w:t>30,035,767</w:t>
            </w:r>
          </w:p>
        </w:tc>
        <w:tc>
          <w:tcPr>
            <w:tcW w:w="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31,108</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30,066,875</w:t>
            </w:r>
          </w:p>
        </w:tc>
        <w:tc>
          <w:tcPr>
            <w:tcW w:w="75" w:type="dxa"/>
            <w:tcBorders/>
            <w:shd w:fill="CCEEFF" w:val="clear"/>
            <w:vAlign w:val="center"/>
          </w:tcPr>
          <w:p>
            <w:pPr>
              <w:pStyle w:val="TableContents"/>
              <w:bidi w:val="0"/>
              <w:spacing w:before="0" w:after="283"/>
              <w:ind w:left="0" w:right="0" w:hanging="200"/>
              <w:jc w:val="left"/>
              <w:rPr/>
            </w:pPr>
            <w:r>
              <w:rPr/>
              <w:t> </w:t>
            </w:r>
            <w:bookmarkStart w:id="156" w:name="xdx_400_eus-gaap--ProfitLoss_zpr7FMwvC5Y"/>
            <w:bookmarkEnd w:id="156"/>
          </w:p>
        </w:tc>
      </w:tr>
      <w:tr>
        <w:trPr/>
        <w:tc>
          <w:tcPr>
            <w:tcW w:w="1490" w:type="dxa"/>
            <w:tcBorders/>
            <w:shd w:fill="FFFFFF" w:val="clear"/>
            <w:vAlign w:val="center"/>
          </w:tcPr>
          <w:p>
            <w:pPr>
              <w:pStyle w:val="TableContents"/>
              <w:bidi w:val="0"/>
              <w:spacing w:before="0" w:after="283"/>
              <w:jc w:val="left"/>
              <w:rPr/>
            </w:pPr>
            <w:r>
              <w:rPr/>
              <w:t>Net income/(loss)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5,851,082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b/>
              </w:rPr>
            </w:pPr>
            <w:r>
              <w:rPr>
                <w:b/>
              </w:rPr>
              <w:t>5,851,082</w:t>
            </w:r>
          </w:p>
        </w:tc>
        <w:tc>
          <w:tcPr>
            <w:tcW w:w="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(10,569</w:t>
            </w:r>
          </w:p>
        </w:tc>
        <w:tc>
          <w:tcPr>
            <w:tcW w:w="16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5,840,513</w:t>
            </w:r>
          </w:p>
        </w:tc>
        <w:tc>
          <w:tcPr>
            <w:tcW w:w="75" w:type="dxa"/>
            <w:tcBorders/>
            <w:shd w:fill="FFFFFF" w:val="clear"/>
            <w:vAlign w:val="center"/>
          </w:tcPr>
          <w:p>
            <w:pPr>
              <w:pStyle w:val="TableContents"/>
              <w:bidi w:val="0"/>
              <w:spacing w:before="0" w:after="283"/>
              <w:ind w:left="0" w:right="0" w:hanging="200"/>
              <w:jc w:val="left"/>
              <w:rPr/>
            </w:pPr>
            <w:r>
              <w:rPr/>
              <w:t> </w:t>
            </w:r>
            <w:bookmarkStart w:id="157" w:name="xdx_40F_eus-gaap--StockIssuedDuringPerio"/>
            <w:bookmarkEnd w:id="157"/>
          </w:p>
        </w:tc>
      </w:tr>
      <w:tr>
        <w:trPr/>
        <w:tc>
          <w:tcPr>
            <w:tcW w:w="1490" w:type="dxa"/>
            <w:tcBorders/>
            <w:shd w:fill="CCEEFF" w:val="clear"/>
            <w:vAlign w:val="center"/>
          </w:tcPr>
          <w:p>
            <w:pPr>
              <w:pStyle w:val="TableContents"/>
              <w:bidi w:val="0"/>
              <w:spacing w:before="0" w:after="283"/>
              <w:jc w:val="left"/>
              <w:rPr/>
            </w:pPr>
            <w:r>
              <w:rPr/>
              <w:t>Share-based compensation -non-employee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8" w:name="xdx_98C_ecustom--SharebasedCompensationN"/>
            <w:bookmarkEnd w:id="158"/>
          </w:p>
        </w:tc>
        <w:tc>
          <w:tcPr>
            <w:tcW w:w="1175" w:type="dxa"/>
            <w:tcBorders/>
            <w:shd w:fill="CCEEFF" w:val="clear"/>
            <w:vAlign w:val="center"/>
          </w:tcPr>
          <w:p>
            <w:pPr>
              <w:pStyle w:val="TableContents"/>
              <w:bidi w:val="0"/>
              <w:spacing w:before="0" w:after="283"/>
              <w:jc w:val="right"/>
              <w:rPr/>
            </w:pPr>
            <w:r>
              <w:rPr/>
              <w:t>1,800,000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30</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676,595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b/>
              </w:rPr>
            </w:pPr>
            <w:r>
              <w:rPr>
                <w:b/>
              </w:rPr>
              <w:t>676,625</w:t>
            </w:r>
          </w:p>
        </w:tc>
        <w:tc>
          <w:tcPr>
            <w:tcW w:w="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676,625</w:t>
            </w:r>
          </w:p>
        </w:tc>
        <w:tc>
          <w:tcPr>
            <w:tcW w:w="75" w:type="dxa"/>
            <w:tcBorders/>
            <w:shd w:fill="CCEEFF" w:val="clear"/>
            <w:vAlign w:val="center"/>
          </w:tcPr>
          <w:p>
            <w:pPr>
              <w:pStyle w:val="TableContents"/>
              <w:bidi w:val="0"/>
              <w:spacing w:before="0" w:after="283"/>
              <w:ind w:left="0" w:right="0" w:hanging="200"/>
              <w:jc w:val="left"/>
              <w:rPr/>
            </w:pPr>
            <w:r>
              <w:rPr/>
              <w:t> </w:t>
            </w:r>
            <w:bookmarkStart w:id="159" w:name="xdx_40D_eus-gaap--ForeignCurrencyTransac"/>
            <w:bookmarkEnd w:id="159"/>
          </w:p>
        </w:tc>
      </w:tr>
      <w:tr>
        <w:trPr/>
        <w:tc>
          <w:tcPr>
            <w:tcW w:w="1490" w:type="dxa"/>
            <w:tcBorders/>
            <w:shd w:fill="FFFFFF" w:val="clear"/>
            <w:vAlign w:val="center"/>
          </w:tcPr>
          <w:p>
            <w:pPr>
              <w:pStyle w:val="TableContents"/>
              <w:bidi w:val="0"/>
              <w:spacing w:before="0" w:after="283"/>
              <w:jc w:val="left"/>
              <w:rPr/>
            </w:pPr>
            <w:r>
              <w:rPr/>
              <w:t>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r>
              <w:rPr/>
              <w:t>559,787</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559,787</w:t>
            </w:r>
          </w:p>
        </w:tc>
        <w:tc>
          <w:tcPr>
            <w:tcW w:w="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717</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560,504</w:t>
            </w:r>
          </w:p>
        </w:tc>
        <w:tc>
          <w:tcPr>
            <w:tcW w:w="75" w:type="dxa"/>
            <w:tcBorders/>
            <w:shd w:fill="FFFFFF" w:val="clear"/>
            <w:vAlign w:val="center"/>
          </w:tcPr>
          <w:p>
            <w:pPr>
              <w:pStyle w:val="TableContents"/>
              <w:bidi w:val="0"/>
              <w:spacing w:before="0" w:after="283"/>
              <w:ind w:left="0" w:right="0" w:hanging="200"/>
              <w:jc w:val="left"/>
              <w:rPr/>
            </w:pPr>
            <w:r>
              <w:rPr/>
              <w:t> </w:t>
            </w:r>
            <w:bookmarkStart w:id="160" w:name="xdx_431_c20250101__20250630_eus-gaap--St"/>
            <w:bookmarkEnd w:id="160"/>
          </w:p>
        </w:tc>
      </w:tr>
      <w:tr>
        <w:trPr/>
        <w:tc>
          <w:tcPr>
            <w:tcW w:w="1490" w:type="dxa"/>
            <w:tcBorders/>
            <w:shd w:fill="CCEEFF" w:val="clear"/>
            <w:vAlign w:val="center"/>
          </w:tcPr>
          <w:p>
            <w:pPr>
              <w:pStyle w:val="TableContents"/>
              <w:bidi w:val="0"/>
              <w:spacing w:before="0" w:after="283"/>
              <w:jc w:val="left"/>
              <w:rPr>
                <w:b/>
              </w:rPr>
            </w:pPr>
            <w:r>
              <w:rPr>
                <w:b/>
              </w:rPr>
              <w:t>Balance as of June 30, 2025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1" w:name="xdx_98B_eus-gaap--SharesOutstanding_iE_c"/>
            <w:bookmarkEnd w:id="161"/>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63,181,249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1,053</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2" w:name="xdx_989_eus-gaap--SharesOutstanding_iE_c"/>
            <w:bookmarkEnd w:id="16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3" w:name="xdx_982_eus-gaap--SharesOutstanding_iE_c"/>
            <w:bookmarkEnd w:id="16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7,736,645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2,658,112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27,802,955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(1,075,504</w:t>
            </w:r>
          </w:p>
        </w:tc>
        <w:tc>
          <w:tcPr>
            <w:tcW w:w="12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6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37,123,261</w:t>
            </w:r>
          </w:p>
        </w:tc>
        <w:tc>
          <w:tcPr>
            <w:tcW w:w="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21,256</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37,144,517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bookmarkStart w:id="164" w:name="xdx_437_c20260101__20260630_eus-gaap--St"/>
            <w:bookmarkEnd w:id="164"/>
          </w:p>
        </w:tc>
      </w:tr>
      <w:tr>
        <w:trPr/>
        <w:tc>
          <w:tcPr>
            <w:tcW w:w="1490"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 w:name="xdx_98F_eus-gaap--SharesOutstanding_iS_c"/>
            <w:bookmarkEnd w:id="165"/>
          </w:p>
        </w:tc>
        <w:tc>
          <w:tcPr>
            <w:tcW w:w="1175" w:type="dxa"/>
            <w:tcBorders/>
            <w:shd w:fill="CCEEFF" w:val="clear"/>
            <w:vAlign w:val="center"/>
          </w:tcPr>
          <w:p>
            <w:pPr>
              <w:pStyle w:val="TableContents"/>
              <w:bidi w:val="0"/>
              <w:spacing w:before="0" w:after="283"/>
              <w:jc w:val="right"/>
              <w:rPr/>
            </w:pPr>
            <w:r>
              <w:rPr/>
              <w:t>63,822,249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1,063</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B_eus-gaap--SharesOutstanding_iS_c"/>
            <w:bookmarkEnd w:id="166"/>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7" w:name="xdx_98D_eus-gaap--SharesOutstanding_iS_c"/>
            <w:bookmarkEnd w:id="167"/>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8,977,814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2,662,115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32,132,905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(304,868</w:t>
            </w:r>
          </w:p>
        </w:tc>
        <w:tc>
          <w:tcPr>
            <w:tcW w:w="12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b/>
              </w:rPr>
            </w:pPr>
            <w:r>
              <w:rPr>
                <w:b/>
              </w:rPr>
              <w:t>43,469,029</w:t>
            </w:r>
          </w:p>
        </w:tc>
        <w:tc>
          <w:tcPr>
            <w:tcW w:w="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125,199</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43,594,228</w:t>
            </w:r>
          </w:p>
        </w:tc>
        <w:tc>
          <w:tcPr>
            <w:tcW w:w="75" w:type="dxa"/>
            <w:tcBorders/>
            <w:shd w:fill="CCEEFF" w:val="clear"/>
            <w:vAlign w:val="center"/>
          </w:tcPr>
          <w:p>
            <w:pPr>
              <w:pStyle w:val="TableContents"/>
              <w:bidi w:val="0"/>
              <w:spacing w:before="0" w:after="283"/>
              <w:ind w:left="0" w:right="0" w:hanging="200"/>
              <w:jc w:val="left"/>
              <w:rPr/>
            </w:pPr>
            <w:r>
              <w:rPr/>
              <w:t> </w:t>
            </w:r>
            <w:bookmarkStart w:id="168" w:name="xdx_40F_eus-gaap--StockIssuedDuringPerio"/>
            <w:bookmarkEnd w:id="168"/>
          </w:p>
        </w:tc>
      </w:tr>
      <w:tr>
        <w:trPr/>
        <w:tc>
          <w:tcPr>
            <w:tcW w:w="1490" w:type="dxa"/>
            <w:tcBorders/>
            <w:shd w:fill="FFFFFF" w:val="clear"/>
            <w:vAlign w:val="center"/>
          </w:tcPr>
          <w:p>
            <w:pPr>
              <w:pStyle w:val="TableContents"/>
              <w:bidi w:val="0"/>
              <w:spacing w:before="0" w:after="283"/>
              <w:jc w:val="left"/>
              <w:rPr/>
            </w:pPr>
            <w:r>
              <w:rPr/>
              <w:t>Share-based compensation -non-employee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9" w:name="xdx_98B_ecustom--SharebasedCompensationN"/>
            <w:bookmarkEnd w:id="169"/>
          </w:p>
        </w:tc>
        <w:tc>
          <w:tcPr>
            <w:tcW w:w="1175" w:type="dxa"/>
            <w:tcBorders/>
            <w:shd w:fill="FFFFFF" w:val="clear"/>
            <w:vAlign w:val="center"/>
          </w:tcPr>
          <w:p>
            <w:pPr>
              <w:pStyle w:val="TableContents"/>
              <w:bidi w:val="0"/>
              <w:spacing w:before="0" w:after="283"/>
              <w:jc w:val="right"/>
              <w:rPr/>
            </w:pPr>
            <w:r>
              <w:rPr/>
              <w:t>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8</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1,165,885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b/>
              </w:rPr>
            </w:pPr>
            <w:r>
              <w:rPr>
                <w:b/>
              </w:rPr>
              <w:t>1,165,893</w:t>
            </w:r>
          </w:p>
        </w:tc>
        <w:tc>
          <w:tcPr>
            <w:tcW w:w="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1,165,893</w:t>
            </w:r>
          </w:p>
        </w:tc>
        <w:tc>
          <w:tcPr>
            <w:tcW w:w="75" w:type="dxa"/>
            <w:tcBorders/>
            <w:shd w:fill="FFFFFF" w:val="clear"/>
            <w:vAlign w:val="center"/>
          </w:tcPr>
          <w:p>
            <w:pPr>
              <w:pStyle w:val="TableContents"/>
              <w:bidi w:val="0"/>
              <w:spacing w:before="0" w:after="283"/>
              <w:ind w:left="0" w:right="0" w:hanging="200"/>
              <w:jc w:val="left"/>
              <w:rPr/>
            </w:pPr>
            <w:r>
              <w:rPr/>
              <w:t> </w:t>
            </w:r>
            <w:bookmarkStart w:id="170" w:name="xdx_405_ecustom--RedesignationOfClassAnd"/>
            <w:bookmarkEnd w:id="170"/>
          </w:p>
        </w:tc>
      </w:tr>
      <w:tr>
        <w:trPr/>
        <w:tc>
          <w:tcPr>
            <w:tcW w:w="1490" w:type="dxa"/>
            <w:tcBorders/>
            <w:shd w:fill="CCEEFF" w:val="clear"/>
            <w:vAlign w:val="center"/>
          </w:tcPr>
          <w:p>
            <w:pPr>
              <w:pStyle w:val="TableContents"/>
              <w:bidi w:val="0"/>
              <w:spacing w:before="0" w:after="283"/>
              <w:jc w:val="left"/>
              <w:rPr/>
            </w:pPr>
            <w:r>
              <w:rPr/>
              <w:t>Redesignation of Class A and Class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1" w:name="xdx_980_ecustom--RedesignationOfClassAnd"/>
            <w:bookmarkEnd w:id="171"/>
          </w:p>
        </w:tc>
        <w:tc>
          <w:tcPr>
            <w:tcW w:w="1175" w:type="dxa"/>
            <w:tcBorders/>
            <w:shd w:fill="CCEEFF" w:val="clear"/>
            <w:vAlign w:val="center"/>
          </w:tcPr>
          <w:p>
            <w:pPr>
              <w:pStyle w:val="TableContents"/>
              <w:bidi w:val="0"/>
              <w:spacing w:before="0" w:after="283"/>
              <w:jc w:val="right"/>
              <w:rPr/>
            </w:pPr>
            <w:r>
              <w:rPr/>
              <w:t>(64,322,249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(1,071</w:t>
            </w:r>
          </w:p>
        </w:tc>
        <w:tc>
          <w:tcPr>
            <w:tcW w:w="10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 w:name="xdx_983_ecustom--RedesignationOfClassAnd"/>
            <w:bookmarkEnd w:id="172"/>
          </w:p>
        </w:tc>
        <w:tc>
          <w:tcPr>
            <w:tcW w:w="1100" w:type="dxa"/>
            <w:tcBorders/>
            <w:shd w:fill="CCEEFF" w:val="clear"/>
            <w:vAlign w:val="center"/>
          </w:tcPr>
          <w:p>
            <w:pPr>
              <w:pStyle w:val="TableContents"/>
              <w:bidi w:val="0"/>
              <w:spacing w:before="0" w:after="283"/>
              <w:jc w:val="right"/>
              <w:rPr/>
            </w:pPr>
            <w:r>
              <w:rPr/>
              <w:t>55,322,249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921</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3" w:name="xdx_98C_ecustom--RedesignationOfClassAnd"/>
            <w:bookmarkEnd w:id="173"/>
          </w:p>
        </w:tc>
        <w:tc>
          <w:tcPr>
            <w:tcW w:w="980" w:type="dxa"/>
            <w:tcBorders/>
            <w:shd w:fill="CCEEFF" w:val="clear"/>
            <w:vAlign w:val="center"/>
          </w:tcPr>
          <w:p>
            <w:pPr>
              <w:pStyle w:val="TableContents"/>
              <w:bidi w:val="0"/>
              <w:spacing w:before="0" w:after="283"/>
              <w:jc w:val="right"/>
              <w:rPr/>
            </w:pPr>
            <w:r>
              <w:rPr/>
              <w:t>9,000,000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150</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bookmarkStart w:id="174" w:name="xdx_400_eus-gaap--ProfitLoss_z9oSemlhTtQ"/>
            <w:bookmarkEnd w:id="174"/>
          </w:p>
        </w:tc>
      </w:tr>
      <w:tr>
        <w:trPr/>
        <w:tc>
          <w:tcPr>
            <w:tcW w:w="1490" w:type="dxa"/>
            <w:tcBorders/>
            <w:shd w:fill="FFFFFF" w:val="clear"/>
            <w:vAlign w:val="center"/>
          </w:tcPr>
          <w:p>
            <w:pPr>
              <w:pStyle w:val="TableContents"/>
              <w:bidi w:val="0"/>
              <w:spacing w:before="0" w:after="283"/>
              <w:jc w:val="left"/>
              <w:rPr/>
            </w:pPr>
            <w:r>
              <w:rPr/>
              <w:t>Net income/(loss)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5,245,342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b/>
              </w:rPr>
            </w:pPr>
            <w:r>
              <w:rPr>
                <w:b/>
              </w:rPr>
              <w:t>5,245,342</w:t>
            </w:r>
          </w:p>
        </w:tc>
        <w:tc>
          <w:tcPr>
            <w:tcW w:w="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(4,941</w:t>
            </w:r>
          </w:p>
        </w:tc>
        <w:tc>
          <w:tcPr>
            <w:tcW w:w="16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5,240,401</w:t>
            </w:r>
          </w:p>
        </w:tc>
        <w:tc>
          <w:tcPr>
            <w:tcW w:w="75" w:type="dxa"/>
            <w:tcBorders/>
            <w:shd w:fill="FFFFFF" w:val="clear"/>
            <w:vAlign w:val="center"/>
          </w:tcPr>
          <w:p>
            <w:pPr>
              <w:pStyle w:val="TableContents"/>
              <w:bidi w:val="0"/>
              <w:spacing w:before="0" w:after="283"/>
              <w:ind w:left="0" w:right="0" w:hanging="200"/>
              <w:jc w:val="left"/>
              <w:rPr/>
            </w:pPr>
            <w:r>
              <w:rPr/>
              <w:t> </w:t>
            </w:r>
            <w:bookmarkStart w:id="175" w:name="xdx_409_ecustom--SharebasedCompensationE"/>
            <w:bookmarkEnd w:id="175"/>
          </w:p>
        </w:tc>
      </w:tr>
      <w:tr>
        <w:trPr/>
        <w:tc>
          <w:tcPr>
            <w:tcW w:w="1490" w:type="dxa"/>
            <w:tcBorders/>
            <w:shd w:fill="CCEEFF" w:val="clear"/>
            <w:vAlign w:val="center"/>
          </w:tcPr>
          <w:p>
            <w:pPr>
              <w:pStyle w:val="TableContents"/>
              <w:bidi w:val="0"/>
              <w:spacing w:before="0" w:after="283"/>
              <w:jc w:val="left"/>
              <w:rPr/>
            </w:pPr>
            <w:r>
              <w:rPr/>
              <w:t>Share-based compensation -employee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229,283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b/>
              </w:rPr>
            </w:pPr>
            <w:r>
              <w:rPr>
                <w:b/>
              </w:rPr>
              <w:t>229,283</w:t>
            </w:r>
          </w:p>
        </w:tc>
        <w:tc>
          <w:tcPr>
            <w:tcW w:w="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229,283</w:t>
            </w:r>
          </w:p>
        </w:tc>
        <w:tc>
          <w:tcPr>
            <w:tcW w:w="75" w:type="dxa"/>
            <w:tcBorders/>
            <w:shd w:fill="CCEEFF" w:val="clear"/>
            <w:vAlign w:val="center"/>
          </w:tcPr>
          <w:p>
            <w:pPr>
              <w:pStyle w:val="TableContents"/>
              <w:bidi w:val="0"/>
              <w:spacing w:before="0" w:after="283"/>
              <w:ind w:left="0" w:right="0" w:hanging="200"/>
              <w:jc w:val="left"/>
              <w:rPr/>
            </w:pPr>
            <w:r>
              <w:rPr/>
              <w:t> </w:t>
            </w:r>
            <w:bookmarkStart w:id="176" w:name="xdx_409_ecustom--CapitalInjectionFromNon"/>
            <w:bookmarkEnd w:id="176"/>
          </w:p>
        </w:tc>
      </w:tr>
      <w:tr>
        <w:trPr/>
        <w:tc>
          <w:tcPr>
            <w:tcW w:w="1490" w:type="dxa"/>
            <w:tcBorders/>
            <w:shd w:fill="FFFFFF" w:val="clear"/>
            <w:vAlign w:val="center"/>
          </w:tcPr>
          <w:p>
            <w:pPr>
              <w:pStyle w:val="TableContents"/>
              <w:bidi w:val="0"/>
              <w:spacing w:before="0" w:after="283"/>
              <w:jc w:val="left"/>
              <w:rPr/>
            </w:pPr>
            <w:r>
              <w:rPr/>
              <w:t>Capital injection from a non-controlling shareholder of a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116,171</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116,171</w:t>
            </w:r>
          </w:p>
        </w:tc>
        <w:tc>
          <w:tcPr>
            <w:tcW w:w="75" w:type="dxa"/>
            <w:tcBorders/>
            <w:shd w:fill="FFFFFF" w:val="clear"/>
            <w:vAlign w:val="center"/>
          </w:tcPr>
          <w:p>
            <w:pPr>
              <w:pStyle w:val="TableContents"/>
              <w:bidi w:val="0"/>
              <w:spacing w:before="0" w:after="283"/>
              <w:ind w:left="0" w:right="0" w:hanging="200"/>
              <w:jc w:val="left"/>
              <w:rPr/>
            </w:pPr>
            <w:r>
              <w:rPr/>
              <w:t> </w:t>
            </w:r>
            <w:bookmarkStart w:id="177" w:name="xdx_40D_eus-gaap--ForeignCurrencyTransac"/>
            <w:bookmarkEnd w:id="177"/>
          </w:p>
        </w:tc>
      </w:tr>
      <w:tr>
        <w:trPr/>
        <w:tc>
          <w:tcPr>
            <w:tcW w:w="1490" w:type="dxa"/>
            <w:tcBorders/>
            <w:shd w:fill="CCEEFF" w:val="clear"/>
            <w:vAlign w:val="center"/>
          </w:tcPr>
          <w:p>
            <w:pPr>
              <w:pStyle w:val="TableContents"/>
              <w:bidi w:val="0"/>
              <w:spacing w:before="0" w:after="283"/>
              <w:jc w:val="left"/>
              <w:rPr/>
            </w:pPr>
            <w:r>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CCEEFF" w:val="clear"/>
            <w:tcMar>
              <w:bottom w:w="28" w:type="dxa"/>
            </w:tcMar>
            <w:vAlign w:val="center"/>
          </w:tcPr>
          <w:p>
            <w:pPr>
              <w:pStyle w:val="TableContents"/>
              <w:bidi w:val="0"/>
              <w:spacing w:before="0" w:after="283"/>
              <w:jc w:val="right"/>
              <w:rPr/>
            </w:pPr>
            <w:r>
              <w:rPr/>
              <w:t>1,309,345</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1,309,345</w:t>
            </w:r>
          </w:p>
        </w:tc>
        <w:tc>
          <w:tcPr>
            <w:tcW w:w="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CCEEFF" w:val="clear"/>
            <w:tcMar>
              <w:bottom w:w="28" w:type="dxa"/>
            </w:tcMar>
            <w:vAlign w:val="center"/>
          </w:tcPr>
          <w:p>
            <w:pPr>
              <w:pStyle w:val="TableContents"/>
              <w:bidi w:val="0"/>
              <w:spacing w:before="0" w:after="283"/>
              <w:jc w:val="right"/>
              <w:rPr/>
            </w:pPr>
            <w:r>
              <w:rPr/>
              <w:t>(876</w:t>
            </w:r>
          </w:p>
        </w:tc>
        <w:tc>
          <w:tcPr>
            <w:tcW w:w="1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1,308,469</w:t>
            </w:r>
          </w:p>
        </w:tc>
        <w:tc>
          <w:tcPr>
            <w:tcW w:w="75" w:type="dxa"/>
            <w:tcBorders/>
            <w:shd w:fill="CCEEFF" w:val="clear"/>
            <w:vAlign w:val="center"/>
          </w:tcPr>
          <w:p>
            <w:pPr>
              <w:pStyle w:val="TableContents"/>
              <w:bidi w:val="0"/>
              <w:spacing w:before="0" w:after="283"/>
              <w:ind w:left="0" w:right="0" w:hanging="200"/>
              <w:jc w:val="left"/>
              <w:rPr/>
            </w:pPr>
            <w:r>
              <w:rPr/>
              <w:t> </w:t>
            </w:r>
            <w:bookmarkStart w:id="178" w:name="xdx_43A_c20260101__20260630_eus-gaap--St"/>
            <w:bookmarkEnd w:id="178"/>
          </w:p>
        </w:tc>
      </w:tr>
      <w:tr>
        <w:trPr/>
        <w:tc>
          <w:tcPr>
            <w:tcW w:w="1490" w:type="dxa"/>
            <w:tcBorders/>
            <w:shd w:fill="FFFFFF" w:val="clear"/>
            <w:vAlign w:val="center"/>
          </w:tcPr>
          <w:p>
            <w:pPr>
              <w:pStyle w:val="TableContents"/>
              <w:bidi w:val="0"/>
              <w:spacing w:before="0" w:after="283"/>
              <w:jc w:val="left"/>
              <w:rPr>
                <w:b/>
              </w:rPr>
            </w:pPr>
            <w:r>
              <w:rPr>
                <w:b/>
              </w:rPr>
              <w:t>Balance as of June 30, 2026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9" w:name="xdx_981_eus-gaap--SharesOutstanding_iE_c"/>
            <w:bookmarkEnd w:id="179"/>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0" w:name="xdx_986_eus-gaap--SharesOutstanding_iE_c"/>
            <w:bookmarkEnd w:id="18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55,322,249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921</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1" w:name="xdx_981_eus-gaap--SharesOutstanding_iE_c"/>
            <w:bookmarkEnd w:id="18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150</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10,372,982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2,662,115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37,378,247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1,004,477</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51,418,892</w:t>
            </w:r>
          </w:p>
        </w:tc>
        <w:tc>
          <w:tcPr>
            <w:tcW w:w="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235,553</w:t>
            </w:r>
          </w:p>
        </w:tc>
        <w:tc>
          <w:tcPr>
            <w:tcW w:w="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51,654,445</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The shares and per share information are presented on a retroactive basis to reflect the reorganization completed on March 28, 2023 and the two share splits that occurred on June 19, 2023 and June 6, 2024, respectively (Note 1).</w:t>
      </w:r>
    </w:p>
    <w:p>
      <w:pPr>
        <w:pStyle w:val="TextBody"/>
        <w:bidi w:val="0"/>
        <w:jc w:val="center"/>
        <w:rPr>
          <w:caps w:val="false"/>
          <w:smallCaps w:val="false"/>
        </w:rPr>
      </w:pPr>
      <w:r>
        <w:rPr>
          <w:caps w:val="false"/>
          <w:smallCaps w:val="false"/>
        </w:rPr>
        <w:t> </w:t>
      </w:r>
    </w:p>
    <w:p>
      <w:pPr>
        <w:pStyle w:val="TextBody"/>
        <w:bidi w:val="0"/>
        <w:ind w:left="142"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redesignation of ordinary shares into Class A ordinary shares and Class B ordinary shares is effective on March 17, 2026 (Note 1).</w:t>
      </w:r>
    </w:p>
    <w:p>
      <w:pPr>
        <w:pStyle w:val="TextBody"/>
        <w:bidi w:val="0"/>
        <w:ind w:left="142" w:right="0" w:hanging="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F-4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i w:val="false"/>
          <w:caps w:val="false"/>
          <w:smallCaps w:val="false"/>
          <w:sz w:val="20"/>
        </w:rPr>
      </w:pPr>
      <w:bookmarkStart w:id="182" w:name="a_004"/>
      <w:bookmarkEnd w:id="182"/>
      <w:r>
        <w:rPr>
          <w:rFonts w:ascii="Times New Roman;Times;Serif" w:hAnsi="Times New Roman;Times;Serif"/>
          <w:b/>
          <w:i w:val="false"/>
          <w:caps w:val="false"/>
          <w:smallCaps w:val="false"/>
          <w:sz w:val="20"/>
        </w:rPr>
        <w:t>UNAUDITED CONDENSED CONSOLIDATED STATEMENTS OF CASH FLOWS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for the number of shares data)</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3" w:name="xdx_30D_112_zYuN4cxJ36a8"/>
      <w:bookmarkStart w:id="184" w:name="xdx_30D_112_zYuN4cxJ36a8"/>
      <w:bookmarkEnd w:id="184"/>
    </w:p>
    <w:tbl>
      <w:tblPr>
        <w:tblW w:w="10205" w:type="dxa"/>
        <w:jc w:val="left"/>
        <w:tblInd w:w="0" w:type="dxa"/>
        <w:tblLayout w:type="fixed"/>
        <w:tblCellMar>
          <w:top w:w="0" w:type="dxa"/>
          <w:left w:w="0" w:type="dxa"/>
          <w:bottom w:w="0" w:type="dxa"/>
          <w:right w:w="0" w:type="dxa"/>
        </w:tblCellMar>
      </w:tblPr>
      <w:tblGrid>
        <w:gridCol w:w="7371"/>
        <w:gridCol w:w="60"/>
        <w:gridCol w:w="64"/>
        <w:gridCol w:w="1191"/>
        <w:gridCol w:w="102"/>
        <w:gridCol w:w="64"/>
        <w:gridCol w:w="64"/>
        <w:gridCol w:w="1191"/>
        <w:gridCol w:w="98"/>
      </w:tblGrid>
      <w:tr>
        <w:trPr/>
        <w:tc>
          <w:tcPr>
            <w:tcW w:w="7371" w:type="dxa"/>
            <w:tcBorders/>
            <w:shd w:fill="FFFFFF" w:val="clear"/>
            <w:vAlign w:val="center"/>
          </w:tcPr>
          <w:p>
            <w:pPr>
              <w:pStyle w:val="TableContents"/>
              <w:bidi w:val="0"/>
              <w:spacing w:before="0" w:after="283"/>
              <w:ind w:left="0" w:right="0" w:hanging="2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85" w:name="xdx_49C_20250101__20250630_zcCSz0RRMPOj"/>
            <w:bookmarkEnd w:id="185"/>
          </w:p>
        </w:tc>
        <w:tc>
          <w:tcPr>
            <w:tcW w:w="119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86" w:name="xdx_49E_20260101__20260630_z5CUrVW2KhFd"/>
            <w:bookmarkEnd w:id="186"/>
          </w:p>
        </w:tc>
        <w:tc>
          <w:tcPr>
            <w:tcW w:w="119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200"/>
              <w:jc w:val="left"/>
              <w:rPr/>
            </w:pPr>
            <w:r>
              <w:rPr/>
              <w:t> </w:t>
            </w:r>
          </w:p>
        </w:tc>
      </w:tr>
      <w:tr>
        <w:trPr/>
        <w:tc>
          <w:tcPr>
            <w:tcW w:w="73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74"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w:t>
            </w:r>
          </w:p>
        </w:tc>
      </w:tr>
      <w:tr>
        <w:trPr/>
        <w:tc>
          <w:tcPr>
            <w:tcW w:w="73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4" w:type="dxa"/>
            <w:tcBorders/>
            <w:vAlign w:val="center"/>
          </w:tcPr>
          <w:p>
            <w:pPr>
              <w:pStyle w:val="TableContents"/>
              <w:bidi w:val="0"/>
              <w:spacing w:before="0" w:after="283"/>
              <w:jc w:val="left"/>
              <w:rPr/>
            </w:pPr>
            <w:r>
              <w:rPr/>
              <w:t> </w:t>
            </w:r>
          </w:p>
        </w:tc>
        <w:tc>
          <w:tcPr>
            <w:tcW w:w="1353"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2026</w:t>
            </w:r>
          </w:p>
        </w:tc>
      </w:tr>
      <w:tr>
        <w:trPr/>
        <w:tc>
          <w:tcPr>
            <w:tcW w:w="73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74" w:type="dxa"/>
            <w:gridSpan w:val="7"/>
            <w:tcBorders/>
            <w:vAlign w:val="center"/>
          </w:tcPr>
          <w:p>
            <w:pPr>
              <w:pStyle w:val="TableContents"/>
              <w:bidi w:val="0"/>
              <w:spacing w:before="0" w:after="283"/>
              <w:ind w:left="0" w:right="0" w:hanging="200"/>
              <w:jc w:val="center"/>
              <w:rPr>
                <w:b/>
              </w:rPr>
            </w:pPr>
            <w:r>
              <w:rPr>
                <w:b/>
              </w:rPr>
              <w:t>(Unaudited)</w:t>
            </w:r>
            <w:bookmarkStart w:id="187" w:name="xdx_40E_eus-gaap--NetCashProvidedByUsedI"/>
            <w:bookmarkEnd w:id="187"/>
          </w:p>
        </w:tc>
      </w:tr>
      <w:tr>
        <w:trPr/>
        <w:tc>
          <w:tcPr>
            <w:tcW w:w="7371"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200"/>
              <w:jc w:val="left"/>
              <w:rPr/>
            </w:pPr>
            <w:r>
              <w:rPr/>
              <w:t> </w:t>
            </w:r>
            <w:bookmarkStart w:id="188" w:name="xdx_40E_eus-gaap--ProfitLoss_i01_maNCPBU"/>
            <w:bookmarkEnd w:id="188"/>
          </w:p>
        </w:tc>
      </w:tr>
      <w:tr>
        <w:trPr/>
        <w:tc>
          <w:tcPr>
            <w:tcW w:w="7371"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5,840,513</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5,240,401</w:t>
            </w:r>
          </w:p>
        </w:tc>
        <w:tc>
          <w:tcPr>
            <w:tcW w:w="98" w:type="dxa"/>
            <w:tcBorders/>
            <w:shd w:fill="FFFFFF" w:val="clear"/>
            <w:vAlign w:val="center"/>
          </w:tcPr>
          <w:p>
            <w:pPr>
              <w:pStyle w:val="TableContents"/>
              <w:bidi w:val="0"/>
              <w:spacing w:before="0" w:after="283"/>
              <w:ind w:left="0" w:right="0" w:hanging="200"/>
              <w:jc w:val="left"/>
              <w:rPr/>
            </w:pPr>
            <w:r>
              <w:rPr/>
              <w:t> </w:t>
            </w:r>
            <w:bookmarkStart w:id="189" w:name="xdx_40F_eus-gaap--AdjustmentsToReconcile"/>
            <w:bookmarkEnd w:id="189"/>
          </w:p>
        </w:tc>
      </w:tr>
      <w:tr>
        <w:trPr/>
        <w:tc>
          <w:tcPr>
            <w:tcW w:w="7371" w:type="dxa"/>
            <w:tcBorders/>
            <w:shd w:fill="CCEEFF" w:val="clear"/>
            <w:vAlign w:val="center"/>
          </w:tcPr>
          <w:p>
            <w:pPr>
              <w:pStyle w:val="TableContents"/>
              <w:bidi w:val="0"/>
              <w:spacing w:before="0" w:after="283"/>
              <w:jc w:val="left"/>
              <w:rPr>
                <w:b/>
              </w:rPr>
            </w:pPr>
            <w:r>
              <w:rPr>
                <w:b/>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200"/>
              <w:jc w:val="left"/>
              <w:rPr/>
            </w:pPr>
            <w:r>
              <w:rPr/>
              <w:t> </w:t>
            </w:r>
            <w:bookmarkStart w:id="190" w:name="xdx_408_eus-gaap--ProvisionForOtherCredi"/>
            <w:bookmarkEnd w:id="190"/>
          </w:p>
        </w:tc>
      </w:tr>
      <w:tr>
        <w:trPr/>
        <w:tc>
          <w:tcPr>
            <w:tcW w:w="7371" w:type="dxa"/>
            <w:tcBorders/>
            <w:shd w:fill="FFFFFF" w:val="clear"/>
            <w:vAlign w:val="center"/>
          </w:tcPr>
          <w:p>
            <w:pPr>
              <w:pStyle w:val="TableContents"/>
              <w:bidi w:val="0"/>
              <w:spacing w:before="0" w:after="283"/>
              <w:jc w:val="left"/>
              <w:rPr/>
            </w:pPr>
            <w:r>
              <w:rPr/>
              <w:t>Reversal for credit loss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(64</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ind w:left="0" w:right="0" w:hanging="200"/>
              <w:jc w:val="left"/>
              <w:rPr/>
            </w:pPr>
            <w:r>
              <w:rPr/>
              <w:t> </w:t>
            </w:r>
            <w:bookmarkStart w:id="191" w:name="xdx_406_ecustom--DepreciationOfPropertyP"/>
            <w:bookmarkEnd w:id="191"/>
          </w:p>
        </w:tc>
      </w:tr>
      <w:tr>
        <w:trPr/>
        <w:tc>
          <w:tcPr>
            <w:tcW w:w="7371" w:type="dxa"/>
            <w:tcBorders/>
            <w:shd w:fill="CCEEFF" w:val="clear"/>
            <w:vAlign w:val="center"/>
          </w:tcPr>
          <w:p>
            <w:pPr>
              <w:pStyle w:val="TableContents"/>
              <w:bidi w:val="0"/>
              <w:spacing w:before="0" w:after="283"/>
              <w:jc w:val="left"/>
              <w:rPr/>
            </w:pPr>
            <w:r>
              <w:rPr/>
              <w:t>Depreciation of property, plant and equipment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333,037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725,762</w:t>
            </w:r>
          </w:p>
        </w:tc>
        <w:tc>
          <w:tcPr>
            <w:tcW w:w="98" w:type="dxa"/>
            <w:tcBorders/>
            <w:shd w:fill="CCEEFF" w:val="clear"/>
            <w:vAlign w:val="center"/>
          </w:tcPr>
          <w:p>
            <w:pPr>
              <w:pStyle w:val="TableContents"/>
              <w:bidi w:val="0"/>
              <w:spacing w:before="0" w:after="283"/>
              <w:ind w:left="0" w:right="0" w:hanging="200"/>
              <w:jc w:val="left"/>
              <w:rPr/>
            </w:pPr>
            <w:r>
              <w:rPr/>
              <w:t> </w:t>
            </w:r>
            <w:bookmarkStart w:id="192" w:name="xdx_40C_eus-gaap--AmortizationOfIntangib"/>
            <w:bookmarkEnd w:id="192"/>
          </w:p>
        </w:tc>
      </w:tr>
      <w:tr>
        <w:trPr/>
        <w:tc>
          <w:tcPr>
            <w:tcW w:w="7371"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11,769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20,345</w:t>
            </w:r>
          </w:p>
        </w:tc>
        <w:tc>
          <w:tcPr>
            <w:tcW w:w="98" w:type="dxa"/>
            <w:tcBorders/>
            <w:shd w:fill="FFFFFF" w:val="clear"/>
            <w:vAlign w:val="center"/>
          </w:tcPr>
          <w:p>
            <w:pPr>
              <w:pStyle w:val="TableContents"/>
              <w:bidi w:val="0"/>
              <w:spacing w:before="0" w:after="283"/>
              <w:ind w:left="0" w:right="0" w:hanging="200"/>
              <w:jc w:val="left"/>
              <w:rPr/>
            </w:pPr>
            <w:r>
              <w:rPr/>
              <w:t> </w:t>
            </w:r>
            <w:bookmarkStart w:id="193" w:name="xdx_407_eus-gaap--OperatingLeaseRightOfU"/>
            <w:bookmarkEnd w:id="193"/>
          </w:p>
        </w:tc>
      </w:tr>
      <w:tr>
        <w:trPr/>
        <w:tc>
          <w:tcPr>
            <w:tcW w:w="7371"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213,488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369,495</w:t>
            </w:r>
          </w:p>
        </w:tc>
        <w:tc>
          <w:tcPr>
            <w:tcW w:w="98" w:type="dxa"/>
            <w:tcBorders/>
            <w:shd w:fill="CCEEFF" w:val="clear"/>
            <w:vAlign w:val="center"/>
          </w:tcPr>
          <w:p>
            <w:pPr>
              <w:pStyle w:val="TableContents"/>
              <w:bidi w:val="0"/>
              <w:spacing w:before="0" w:after="283"/>
              <w:ind w:left="0" w:right="0" w:hanging="200"/>
              <w:jc w:val="left"/>
              <w:rPr/>
            </w:pPr>
            <w:r>
              <w:rPr/>
              <w:t> </w:t>
            </w:r>
            <w:bookmarkStart w:id="194" w:name="xdx_40F_eus-gaap--FinanceLeaseRightOfUse"/>
            <w:bookmarkEnd w:id="194"/>
          </w:p>
        </w:tc>
      </w:tr>
      <w:tr>
        <w:trPr/>
        <w:tc>
          <w:tcPr>
            <w:tcW w:w="7371" w:type="dxa"/>
            <w:tcBorders/>
            <w:shd w:fill="FFFFFF" w:val="clear"/>
            <w:vAlign w:val="center"/>
          </w:tcPr>
          <w:p>
            <w:pPr>
              <w:pStyle w:val="TableContents"/>
              <w:bidi w:val="0"/>
              <w:spacing w:before="0" w:after="283"/>
              <w:jc w:val="left"/>
              <w:rPr/>
            </w:pPr>
            <w:r>
              <w:rPr/>
              <w:t>Amortization of finance lease right-of-use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38,495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ind w:left="0" w:right="0" w:hanging="200"/>
              <w:jc w:val="left"/>
              <w:rPr/>
            </w:pPr>
            <w:r>
              <w:rPr/>
              <w:t> </w:t>
            </w:r>
            <w:bookmarkStart w:id="195" w:name="xdx_401_ecustom--ProvisionForInventories"/>
            <w:bookmarkEnd w:id="195"/>
          </w:p>
        </w:tc>
      </w:tr>
      <w:tr>
        <w:trPr/>
        <w:tc>
          <w:tcPr>
            <w:tcW w:w="7371" w:type="dxa"/>
            <w:tcBorders/>
            <w:shd w:fill="CCEEFF" w:val="clear"/>
            <w:vAlign w:val="center"/>
          </w:tcPr>
          <w:p>
            <w:pPr>
              <w:pStyle w:val="TableContents"/>
              <w:bidi w:val="0"/>
              <w:spacing w:before="0" w:after="283"/>
              <w:jc w:val="left"/>
              <w:rPr/>
            </w:pPr>
            <w:r>
              <w:rPr/>
              <w:t>Provision for inventories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552,180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438,681</w:t>
            </w:r>
          </w:p>
        </w:tc>
        <w:tc>
          <w:tcPr>
            <w:tcW w:w="98" w:type="dxa"/>
            <w:tcBorders/>
            <w:shd w:fill="CCEEFF" w:val="clear"/>
            <w:vAlign w:val="center"/>
          </w:tcPr>
          <w:p>
            <w:pPr>
              <w:pStyle w:val="TableContents"/>
              <w:bidi w:val="0"/>
              <w:spacing w:before="0" w:after="283"/>
              <w:ind w:left="0" w:right="0" w:hanging="200"/>
              <w:jc w:val="left"/>
              <w:rPr/>
            </w:pPr>
            <w:r>
              <w:rPr/>
              <w:t> </w:t>
            </w:r>
            <w:bookmarkStart w:id="196" w:name="xdx_40D_ecustom--ShareOfProfitsFromEquit"/>
            <w:bookmarkEnd w:id="196"/>
          </w:p>
        </w:tc>
      </w:tr>
      <w:tr>
        <w:trPr/>
        <w:tc>
          <w:tcPr>
            <w:tcW w:w="7371" w:type="dxa"/>
            <w:tcBorders/>
            <w:shd w:fill="FFFFFF" w:val="clear"/>
            <w:vAlign w:val="center"/>
          </w:tcPr>
          <w:p>
            <w:pPr>
              <w:pStyle w:val="TableContents"/>
              <w:bidi w:val="0"/>
              <w:spacing w:before="0" w:after="283"/>
              <w:jc w:val="left"/>
              <w:rPr/>
            </w:pPr>
            <w:r>
              <w:rPr/>
              <w:t>Share of profits from equity method investment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(1,431,032</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(1,475,335</w:t>
            </w:r>
          </w:p>
        </w:tc>
        <w:tc>
          <w:tcPr>
            <w:tcW w:w="98" w:type="dxa"/>
            <w:tcBorders/>
            <w:shd w:fill="FFFFFF" w:val="clear"/>
            <w:vAlign w:val="center"/>
          </w:tcPr>
          <w:p>
            <w:pPr>
              <w:pStyle w:val="TableContents"/>
              <w:bidi w:val="0"/>
              <w:spacing w:before="0" w:after="283"/>
              <w:ind w:left="0" w:right="0" w:hanging="200"/>
              <w:jc w:val="left"/>
              <w:rPr/>
            </w:pPr>
            <w:r>
              <w:rPr/>
              <w:t>)</w:t>
            </w:r>
            <w:bookmarkStart w:id="197" w:name="xdx_40C_ecustom--ProvisionsForDeferredIn"/>
            <w:bookmarkEnd w:id="197"/>
          </w:p>
        </w:tc>
      </w:tr>
      <w:tr>
        <w:trPr/>
        <w:tc>
          <w:tcPr>
            <w:tcW w:w="7371" w:type="dxa"/>
            <w:tcBorders/>
            <w:shd w:fill="CCEEFF" w:val="clear"/>
            <w:vAlign w:val="center"/>
          </w:tcPr>
          <w:p>
            <w:pPr>
              <w:pStyle w:val="TableContents"/>
              <w:bidi w:val="0"/>
              <w:spacing w:before="0" w:after="283"/>
              <w:jc w:val="left"/>
              <w:rPr/>
            </w:pPr>
            <w:r>
              <w:rPr/>
              <w:t>Provisions/(Benefits) for deferred income tax</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131,411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(419,145</w:t>
            </w:r>
          </w:p>
        </w:tc>
        <w:tc>
          <w:tcPr>
            <w:tcW w:w="98" w:type="dxa"/>
            <w:tcBorders/>
            <w:shd w:fill="CCEEFF" w:val="clear"/>
            <w:vAlign w:val="center"/>
          </w:tcPr>
          <w:p>
            <w:pPr>
              <w:pStyle w:val="TableContents"/>
              <w:bidi w:val="0"/>
              <w:spacing w:before="0" w:after="283"/>
              <w:ind w:left="0" w:right="0" w:hanging="200"/>
              <w:jc w:val="left"/>
              <w:rPr/>
            </w:pPr>
            <w:r>
              <w:rPr/>
              <w:t>)</w:t>
            </w:r>
            <w:bookmarkStart w:id="198" w:name="xdx_40B_eus-gaap--ShareBasedCompensation"/>
            <w:bookmarkEnd w:id="198"/>
          </w:p>
        </w:tc>
      </w:tr>
      <w:tr>
        <w:trPr/>
        <w:tc>
          <w:tcPr>
            <w:tcW w:w="7371"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676,625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1,395,176</w:t>
            </w:r>
          </w:p>
        </w:tc>
        <w:tc>
          <w:tcPr>
            <w:tcW w:w="98" w:type="dxa"/>
            <w:tcBorders/>
            <w:shd w:fill="FFFFFF" w:val="clear"/>
            <w:vAlign w:val="center"/>
          </w:tcPr>
          <w:p>
            <w:pPr>
              <w:pStyle w:val="TableContents"/>
              <w:bidi w:val="0"/>
              <w:spacing w:before="0" w:after="283"/>
              <w:ind w:left="0" w:right="0" w:hanging="200"/>
              <w:jc w:val="left"/>
              <w:rPr/>
            </w:pPr>
            <w:r>
              <w:rPr/>
              <w:t> </w:t>
            </w:r>
            <w:bookmarkStart w:id="199" w:name="xdx_404_ecustom--LossOnOperatingLeaseEar"/>
            <w:bookmarkEnd w:id="199"/>
          </w:p>
        </w:tc>
      </w:tr>
      <w:tr>
        <w:trPr/>
        <w:tc>
          <w:tcPr>
            <w:tcW w:w="7371" w:type="dxa"/>
            <w:tcBorders/>
            <w:shd w:fill="CCEEFF" w:val="clear"/>
            <w:vAlign w:val="center"/>
          </w:tcPr>
          <w:p>
            <w:pPr>
              <w:pStyle w:val="TableContents"/>
              <w:bidi w:val="0"/>
              <w:spacing w:before="0" w:after="283"/>
              <w:jc w:val="left"/>
              <w:rPr/>
            </w:pPr>
            <w:r>
              <w:rPr/>
              <w:t>Loss   on operating lease early termination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853</w:t>
            </w:r>
          </w:p>
        </w:tc>
        <w:tc>
          <w:tcPr>
            <w:tcW w:w="98" w:type="dxa"/>
            <w:tcBorders/>
            <w:shd w:fill="CCEEFF" w:val="clear"/>
            <w:vAlign w:val="center"/>
          </w:tcPr>
          <w:p>
            <w:pPr>
              <w:pStyle w:val="TableContents"/>
              <w:bidi w:val="0"/>
              <w:spacing w:before="0" w:after="283"/>
              <w:ind w:left="0" w:right="0" w:hanging="200"/>
              <w:jc w:val="left"/>
              <w:rPr/>
            </w:pPr>
            <w:r>
              <w:rPr/>
              <w:t> </w:t>
            </w:r>
            <w:bookmarkStart w:id="200" w:name="xdx_408_eus-gaap--IncreaseDecreaseInOper"/>
            <w:bookmarkEnd w:id="200"/>
          </w:p>
        </w:tc>
      </w:tr>
      <w:tr>
        <w:trPr/>
        <w:tc>
          <w:tcPr>
            <w:tcW w:w="7371"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200"/>
              <w:jc w:val="left"/>
              <w:rPr/>
            </w:pPr>
            <w:r>
              <w:rPr/>
              <w:t> </w:t>
            </w:r>
            <w:bookmarkStart w:id="201" w:name="xdx_409_eus-gaap--IncreaseDecreaseInAcco"/>
            <w:bookmarkEnd w:id="201"/>
          </w:p>
        </w:tc>
      </w:tr>
      <w:tr>
        <w:trPr/>
        <w:tc>
          <w:tcPr>
            <w:tcW w:w="7371"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(1,601,880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329,975</w:t>
            </w:r>
          </w:p>
        </w:tc>
        <w:tc>
          <w:tcPr>
            <w:tcW w:w="98" w:type="dxa"/>
            <w:tcBorders/>
            <w:shd w:fill="CCEEFF" w:val="clear"/>
            <w:vAlign w:val="center"/>
          </w:tcPr>
          <w:p>
            <w:pPr>
              <w:pStyle w:val="TableContents"/>
              <w:bidi w:val="0"/>
              <w:spacing w:before="0" w:after="283"/>
              <w:ind w:left="0" w:right="0" w:hanging="200"/>
              <w:jc w:val="left"/>
              <w:rPr/>
            </w:pPr>
            <w:r>
              <w:rPr/>
              <w:t> </w:t>
            </w:r>
            <w:bookmarkStart w:id="202" w:name="xdx_40C_eus-gaap--IncreaseDecreaseInAcco"/>
            <w:bookmarkEnd w:id="202"/>
          </w:p>
        </w:tc>
      </w:tr>
      <w:tr>
        <w:trPr/>
        <w:tc>
          <w:tcPr>
            <w:tcW w:w="7371" w:type="dxa"/>
            <w:tcBorders/>
            <w:shd w:fill="FFFFFF" w:val="clear"/>
            <w:vAlign w:val="center"/>
          </w:tcPr>
          <w:p>
            <w:pPr>
              <w:pStyle w:val="TableContents"/>
              <w:bidi w:val="0"/>
              <w:spacing w:before="0" w:after="283"/>
              <w:jc w:val="left"/>
              <w:rPr/>
            </w:pPr>
            <w:r>
              <w:rPr/>
              <w:t>Accounts receivable-due from a related party</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1,254,624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2,729,418</w:t>
            </w:r>
          </w:p>
        </w:tc>
        <w:tc>
          <w:tcPr>
            <w:tcW w:w="98" w:type="dxa"/>
            <w:tcBorders/>
            <w:shd w:fill="FFFFFF" w:val="clear"/>
            <w:vAlign w:val="center"/>
          </w:tcPr>
          <w:p>
            <w:pPr>
              <w:pStyle w:val="TableContents"/>
              <w:bidi w:val="0"/>
              <w:spacing w:before="0" w:after="283"/>
              <w:ind w:left="0" w:right="0" w:hanging="200"/>
              <w:jc w:val="left"/>
              <w:rPr/>
            </w:pPr>
            <w:r>
              <w:rPr/>
              <w:t> </w:t>
            </w:r>
            <w:bookmarkStart w:id="203" w:name="xdx_408_eus-gaap--IncreaseDecreaseInInve"/>
            <w:bookmarkEnd w:id="203"/>
          </w:p>
        </w:tc>
      </w:tr>
      <w:tr>
        <w:trPr/>
        <w:tc>
          <w:tcPr>
            <w:tcW w:w="7371"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(2,620,454</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(2,541,263</w:t>
            </w:r>
          </w:p>
        </w:tc>
        <w:tc>
          <w:tcPr>
            <w:tcW w:w="98" w:type="dxa"/>
            <w:tcBorders/>
            <w:shd w:fill="CCEEFF" w:val="clear"/>
            <w:vAlign w:val="center"/>
          </w:tcPr>
          <w:p>
            <w:pPr>
              <w:pStyle w:val="TableContents"/>
              <w:bidi w:val="0"/>
              <w:spacing w:before="0" w:after="283"/>
              <w:ind w:left="0" w:right="0" w:hanging="200"/>
              <w:jc w:val="left"/>
              <w:rPr/>
            </w:pPr>
            <w:r>
              <w:rPr/>
              <w:t>)</w:t>
            </w:r>
            <w:bookmarkStart w:id="204" w:name="xdx_409_eus-gaap--IncreaseDecreaseInPrep"/>
            <w:bookmarkEnd w:id="204"/>
          </w:p>
        </w:tc>
      </w:tr>
      <w:tr>
        <w:trPr/>
        <w:tc>
          <w:tcPr>
            <w:tcW w:w="7371"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(274,981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(1,672,525</w:t>
            </w:r>
          </w:p>
        </w:tc>
        <w:tc>
          <w:tcPr>
            <w:tcW w:w="98" w:type="dxa"/>
            <w:tcBorders/>
            <w:shd w:fill="FFFFFF" w:val="clear"/>
            <w:vAlign w:val="center"/>
          </w:tcPr>
          <w:p>
            <w:pPr>
              <w:pStyle w:val="TableContents"/>
              <w:bidi w:val="0"/>
              <w:spacing w:before="0" w:after="283"/>
              <w:ind w:left="0" w:right="0" w:hanging="200"/>
              <w:jc w:val="left"/>
              <w:rPr/>
            </w:pPr>
            <w:r>
              <w:rPr/>
              <w:t>)</w:t>
            </w:r>
            <w:bookmarkStart w:id="205" w:name="xdx_405_ecustom--IncreaseDecreaseDueFrom"/>
            <w:bookmarkEnd w:id="205"/>
          </w:p>
        </w:tc>
      </w:tr>
      <w:tr>
        <w:trPr/>
        <w:tc>
          <w:tcPr>
            <w:tcW w:w="7371" w:type="dxa"/>
            <w:tcBorders/>
            <w:shd w:fill="CCEEFF" w:val="clear"/>
            <w:vAlign w:val="center"/>
          </w:tcPr>
          <w:p>
            <w:pPr>
              <w:pStyle w:val="TableContents"/>
              <w:bidi w:val="0"/>
              <w:spacing w:before="0" w:after="283"/>
              <w:jc w:val="left"/>
              <w:rPr/>
            </w:pPr>
            <w:r>
              <w:rPr/>
              <w:t>Other receivables-due from related parties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(355,145</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582,305</w:t>
            </w:r>
          </w:p>
        </w:tc>
        <w:tc>
          <w:tcPr>
            <w:tcW w:w="98" w:type="dxa"/>
            <w:tcBorders/>
            <w:shd w:fill="CCEEFF" w:val="clear"/>
            <w:vAlign w:val="center"/>
          </w:tcPr>
          <w:p>
            <w:pPr>
              <w:pStyle w:val="TableContents"/>
              <w:bidi w:val="0"/>
              <w:spacing w:before="0" w:after="283"/>
              <w:ind w:left="0" w:right="0" w:hanging="200"/>
              <w:jc w:val="left"/>
              <w:rPr/>
            </w:pPr>
            <w:r>
              <w:rPr/>
              <w:t> </w:t>
            </w:r>
            <w:bookmarkStart w:id="206" w:name="xdx_40B_eus-gaap--IncreaseDecreaseInAcco"/>
            <w:bookmarkEnd w:id="206"/>
          </w:p>
        </w:tc>
      </w:tr>
      <w:tr>
        <w:trPr/>
        <w:tc>
          <w:tcPr>
            <w:tcW w:w="737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(3,037,042</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(2,981,256</w:t>
            </w:r>
          </w:p>
        </w:tc>
        <w:tc>
          <w:tcPr>
            <w:tcW w:w="98" w:type="dxa"/>
            <w:tcBorders/>
            <w:shd w:fill="FFFFFF" w:val="clear"/>
            <w:vAlign w:val="center"/>
          </w:tcPr>
          <w:p>
            <w:pPr>
              <w:pStyle w:val="TableContents"/>
              <w:bidi w:val="0"/>
              <w:spacing w:before="0" w:after="283"/>
              <w:ind w:left="0" w:right="0" w:hanging="200"/>
              <w:jc w:val="left"/>
              <w:rPr/>
            </w:pPr>
            <w:r>
              <w:rPr/>
              <w:t>)</w:t>
            </w:r>
            <w:bookmarkStart w:id="207" w:name="xdx_408_eus-gaap--IncreaseDecreaseInNote"/>
            <w:bookmarkEnd w:id="207"/>
          </w:p>
        </w:tc>
      </w:tr>
      <w:tr>
        <w:trPr/>
        <w:tc>
          <w:tcPr>
            <w:tcW w:w="7371"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754,083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(22,700</w:t>
            </w:r>
          </w:p>
        </w:tc>
        <w:tc>
          <w:tcPr>
            <w:tcW w:w="98" w:type="dxa"/>
            <w:tcBorders/>
            <w:shd w:fill="CCEEFF" w:val="clear"/>
            <w:vAlign w:val="center"/>
          </w:tcPr>
          <w:p>
            <w:pPr>
              <w:pStyle w:val="TableContents"/>
              <w:bidi w:val="0"/>
              <w:spacing w:before="0" w:after="283"/>
              <w:ind w:left="0" w:right="0" w:hanging="200"/>
              <w:jc w:val="left"/>
              <w:rPr/>
            </w:pPr>
            <w:r>
              <w:rPr/>
              <w:t>)</w:t>
            </w:r>
            <w:bookmarkStart w:id="208" w:name="xdx_40E_eus-gaap--IncreaseDecreaseInInco"/>
            <w:bookmarkEnd w:id="208"/>
          </w:p>
        </w:tc>
      </w:tr>
      <w:tr>
        <w:trPr/>
        <w:tc>
          <w:tcPr>
            <w:tcW w:w="7371"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1,150,797</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474,839</w:t>
            </w:r>
          </w:p>
        </w:tc>
        <w:tc>
          <w:tcPr>
            <w:tcW w:w="98" w:type="dxa"/>
            <w:tcBorders/>
            <w:shd w:fill="FFFFFF" w:val="clear"/>
            <w:vAlign w:val="center"/>
          </w:tcPr>
          <w:p>
            <w:pPr>
              <w:pStyle w:val="TableContents"/>
              <w:bidi w:val="0"/>
              <w:spacing w:before="0" w:after="283"/>
              <w:ind w:left="0" w:right="0" w:hanging="200"/>
              <w:jc w:val="left"/>
              <w:rPr/>
            </w:pPr>
            <w:r>
              <w:rPr/>
              <w:t> </w:t>
            </w:r>
            <w:bookmarkStart w:id="209" w:name="xdx_40E_eus-gaap--IncreaseDecreaseInOthe"/>
            <w:bookmarkEnd w:id="209"/>
          </w:p>
        </w:tc>
      </w:tr>
      <w:tr>
        <w:trPr/>
        <w:tc>
          <w:tcPr>
            <w:tcW w:w="7371"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681,688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66,547</w:t>
            </w:r>
          </w:p>
        </w:tc>
        <w:tc>
          <w:tcPr>
            <w:tcW w:w="98" w:type="dxa"/>
            <w:tcBorders/>
            <w:shd w:fill="CCEEFF" w:val="clear"/>
            <w:vAlign w:val="center"/>
          </w:tcPr>
          <w:p>
            <w:pPr>
              <w:pStyle w:val="TableContents"/>
              <w:bidi w:val="0"/>
              <w:spacing w:before="0" w:after="283"/>
              <w:ind w:left="0" w:right="0" w:hanging="200"/>
              <w:jc w:val="left"/>
              <w:rPr/>
            </w:pPr>
            <w:r>
              <w:rPr/>
              <w:t> </w:t>
            </w:r>
            <w:bookmarkStart w:id="210" w:name="xdx_409_eus-gaap--IncreaseDecreaseInOthe"/>
            <w:bookmarkEnd w:id="210"/>
          </w:p>
        </w:tc>
      </w:tr>
      <w:tr>
        <w:trPr/>
        <w:tc>
          <w:tcPr>
            <w:tcW w:w="7371" w:type="dxa"/>
            <w:tcBorders/>
            <w:shd w:fill="FFFFFF" w:val="clear"/>
            <w:vAlign w:val="center"/>
          </w:tcPr>
          <w:p>
            <w:pPr>
              <w:pStyle w:val="TableContents"/>
              <w:bidi w:val="0"/>
              <w:spacing w:before="0" w:after="283"/>
              <w:jc w:val="left"/>
              <w:rPr/>
            </w:pPr>
            <w:r>
              <w:rPr/>
              <w:t>Other payables-due to related parties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380,049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322,050</w:t>
            </w:r>
          </w:p>
        </w:tc>
        <w:tc>
          <w:tcPr>
            <w:tcW w:w="98" w:type="dxa"/>
            <w:tcBorders/>
            <w:shd w:fill="FFFFFF" w:val="clear"/>
            <w:vAlign w:val="center"/>
          </w:tcPr>
          <w:p>
            <w:pPr>
              <w:pStyle w:val="TableContents"/>
              <w:bidi w:val="0"/>
              <w:spacing w:before="0" w:after="283"/>
              <w:ind w:left="0" w:right="0" w:hanging="200"/>
              <w:jc w:val="left"/>
              <w:rPr/>
            </w:pPr>
            <w:r>
              <w:rPr/>
              <w:t> </w:t>
            </w:r>
            <w:bookmarkStart w:id="211" w:name="xdx_409_eus-gaap--IncreaseDecreaseInOper"/>
            <w:bookmarkEnd w:id="211"/>
          </w:p>
        </w:tc>
      </w:tr>
      <w:tr>
        <w:trPr/>
        <w:tc>
          <w:tcPr>
            <w:tcW w:w="7371"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(217,245</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(389,396</w:t>
            </w:r>
          </w:p>
        </w:tc>
        <w:tc>
          <w:tcPr>
            <w:tcW w:w="98" w:type="dxa"/>
            <w:tcBorders/>
            <w:shd w:fill="CCEEFF" w:val="clear"/>
            <w:vAlign w:val="center"/>
          </w:tcPr>
          <w:p>
            <w:pPr>
              <w:pStyle w:val="TableContents"/>
              <w:bidi w:val="0"/>
              <w:spacing w:before="0" w:after="283"/>
              <w:ind w:left="0" w:right="0" w:hanging="200"/>
              <w:jc w:val="left"/>
              <w:rPr/>
            </w:pPr>
            <w:r>
              <w:rPr/>
              <w:t>)</w:t>
            </w:r>
            <w:bookmarkStart w:id="212" w:name="xdx_40E_eus-gaap--NetCashProvidedByUsedI"/>
            <w:bookmarkEnd w:id="212"/>
          </w:p>
        </w:tc>
      </w:tr>
      <w:tr>
        <w:trPr/>
        <w:tc>
          <w:tcPr>
            <w:tcW w:w="7371" w:type="dxa"/>
            <w:tcBorders/>
            <w:shd w:fill="FFFFFF" w:val="clear"/>
            <w:vAlign w:val="center"/>
          </w:tcPr>
          <w:p>
            <w:pPr>
              <w:pStyle w:val="TableContents"/>
              <w:bidi w:val="0"/>
              <w:spacing w:before="0" w:after="283"/>
              <w:jc w:val="left"/>
              <w:rPr>
                <w:b/>
              </w:rPr>
            </w:pPr>
            <w:r>
              <w:rPr>
                <w:b/>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2,480,916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3,194,227</w:t>
            </w:r>
          </w:p>
        </w:tc>
        <w:tc>
          <w:tcPr>
            <w:tcW w:w="98" w:type="dxa"/>
            <w:tcBorders/>
            <w:shd w:fill="FFFFFF" w:val="clear"/>
            <w:vAlign w:val="center"/>
          </w:tcPr>
          <w:p>
            <w:pPr>
              <w:pStyle w:val="TableContents"/>
              <w:bidi w:val="0"/>
              <w:spacing w:before="0" w:after="283"/>
              <w:ind w:left="0" w:right="0" w:hanging="200"/>
              <w:jc w:val="left"/>
              <w:rPr/>
            </w:pPr>
            <w:r>
              <w:rPr/>
              <w:t> </w:t>
            </w:r>
          </w:p>
        </w:tc>
      </w:tr>
      <w:tr>
        <w:trPr/>
        <w:tc>
          <w:tcPr>
            <w:tcW w:w="73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200"/>
              <w:jc w:val="left"/>
              <w:rPr/>
            </w:pPr>
            <w:r>
              <w:rPr/>
              <w:t> </w:t>
            </w:r>
            <w:bookmarkStart w:id="213" w:name="xdx_408_eus-gaap--NetCashProvidedByUsedI"/>
            <w:bookmarkEnd w:id="213"/>
          </w:p>
        </w:tc>
      </w:tr>
      <w:tr>
        <w:trPr/>
        <w:tc>
          <w:tcPr>
            <w:tcW w:w="7371"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200"/>
              <w:jc w:val="left"/>
              <w:rPr/>
            </w:pPr>
            <w:r>
              <w:rPr/>
              <w:t> </w:t>
            </w:r>
            <w:bookmarkStart w:id="214" w:name="xdx_40E_eus-gaap--PaymentsForProceedsFro"/>
            <w:bookmarkEnd w:id="214"/>
          </w:p>
        </w:tc>
      </w:tr>
      <w:tr>
        <w:trPr/>
        <w:tc>
          <w:tcPr>
            <w:tcW w:w="7371"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(873,418</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(1,305,650</w:t>
            </w:r>
          </w:p>
        </w:tc>
        <w:tc>
          <w:tcPr>
            <w:tcW w:w="98" w:type="dxa"/>
            <w:tcBorders/>
            <w:shd w:fill="CCEEFF" w:val="clear"/>
            <w:vAlign w:val="center"/>
          </w:tcPr>
          <w:p>
            <w:pPr>
              <w:pStyle w:val="TableContents"/>
              <w:bidi w:val="0"/>
              <w:spacing w:before="0" w:after="283"/>
              <w:ind w:left="0" w:right="0" w:hanging="200"/>
              <w:jc w:val="left"/>
              <w:rPr/>
            </w:pPr>
            <w:r>
              <w:rPr/>
              <w:t>)</w:t>
            </w:r>
            <w:bookmarkStart w:id="215" w:name="xdx_406_ecustom--PurchaseOfIntangibleAss"/>
            <w:bookmarkEnd w:id="215"/>
          </w:p>
        </w:tc>
      </w:tr>
      <w:tr>
        <w:trPr/>
        <w:tc>
          <w:tcPr>
            <w:tcW w:w="7371"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(28,410</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(63,792</w:t>
            </w:r>
          </w:p>
        </w:tc>
        <w:tc>
          <w:tcPr>
            <w:tcW w:w="98" w:type="dxa"/>
            <w:tcBorders/>
            <w:shd w:fill="FFFFFF" w:val="clear"/>
            <w:vAlign w:val="center"/>
          </w:tcPr>
          <w:p>
            <w:pPr>
              <w:pStyle w:val="TableContents"/>
              <w:bidi w:val="0"/>
              <w:spacing w:before="0" w:after="283"/>
              <w:ind w:left="0" w:right="0" w:hanging="200"/>
              <w:jc w:val="left"/>
              <w:rPr/>
            </w:pPr>
            <w:r>
              <w:rPr/>
              <w:t>)</w:t>
            </w:r>
            <w:bookmarkStart w:id="216" w:name="xdx_405_eus-gaap--ProceedsFromSaleOfShor"/>
            <w:bookmarkEnd w:id="216"/>
          </w:p>
        </w:tc>
      </w:tr>
      <w:tr>
        <w:trPr/>
        <w:tc>
          <w:tcPr>
            <w:tcW w:w="7371" w:type="dxa"/>
            <w:tcBorders/>
            <w:shd w:fill="CCEEFF" w:val="clear"/>
            <w:vAlign w:val="center"/>
          </w:tcPr>
          <w:p>
            <w:pPr>
              <w:pStyle w:val="TableContents"/>
              <w:bidi w:val="0"/>
              <w:spacing w:before="0" w:after="283"/>
              <w:jc w:val="left"/>
              <w:rPr/>
            </w:pPr>
            <w:r>
              <w:rPr/>
              <w:t>Net proceeds from short-term investment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288,453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101,372</w:t>
            </w:r>
          </w:p>
        </w:tc>
        <w:tc>
          <w:tcPr>
            <w:tcW w:w="98" w:type="dxa"/>
            <w:tcBorders/>
            <w:shd w:fill="CCEEFF" w:val="clear"/>
            <w:vAlign w:val="center"/>
          </w:tcPr>
          <w:p>
            <w:pPr>
              <w:pStyle w:val="TableContents"/>
              <w:bidi w:val="0"/>
              <w:spacing w:before="0" w:after="283"/>
              <w:ind w:left="0" w:right="0" w:hanging="200"/>
              <w:jc w:val="left"/>
              <w:rPr/>
            </w:pPr>
            <w:r>
              <w:rPr/>
              <w:t> </w:t>
            </w:r>
            <w:bookmarkStart w:id="217" w:name="xdx_40B_ecustom--PurchaseOfConstructionI"/>
            <w:bookmarkEnd w:id="217"/>
          </w:p>
        </w:tc>
      </w:tr>
      <w:tr>
        <w:trPr/>
        <w:tc>
          <w:tcPr>
            <w:tcW w:w="7371" w:type="dxa"/>
            <w:tcBorders/>
            <w:shd w:fill="FFFFFF" w:val="clear"/>
            <w:vAlign w:val="center"/>
          </w:tcPr>
          <w:p>
            <w:pPr>
              <w:pStyle w:val="TableContents"/>
              <w:bidi w:val="0"/>
              <w:spacing w:before="0" w:after="283"/>
              <w:jc w:val="left"/>
              <w:rPr/>
            </w:pPr>
            <w:r>
              <w:rPr/>
              <w:t>Purchase of construction in progress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(483,781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(41,464</w:t>
            </w:r>
          </w:p>
        </w:tc>
        <w:tc>
          <w:tcPr>
            <w:tcW w:w="98" w:type="dxa"/>
            <w:tcBorders/>
            <w:shd w:fill="FFFFFF" w:val="clear"/>
            <w:vAlign w:val="center"/>
          </w:tcPr>
          <w:p>
            <w:pPr>
              <w:pStyle w:val="TableContents"/>
              <w:bidi w:val="0"/>
              <w:spacing w:before="0" w:after="283"/>
              <w:ind w:left="0" w:right="0" w:hanging="200"/>
              <w:jc w:val="left"/>
              <w:rPr/>
            </w:pPr>
            <w:r>
              <w:rPr/>
              <w:t>)</w:t>
            </w:r>
            <w:bookmarkStart w:id="218" w:name="xdx_408_ecustom--DividendsReceivedFromLo"/>
            <w:bookmarkEnd w:id="218"/>
          </w:p>
        </w:tc>
      </w:tr>
      <w:tr>
        <w:trPr/>
        <w:tc>
          <w:tcPr>
            <w:tcW w:w="7371" w:type="dxa"/>
            <w:tcBorders/>
            <w:shd w:fill="CCEEFF" w:val="clear"/>
            <w:vAlign w:val="center"/>
          </w:tcPr>
          <w:p>
            <w:pPr>
              <w:pStyle w:val="TableContents"/>
              <w:bidi w:val="0"/>
              <w:spacing w:before="0" w:after="283"/>
              <w:jc w:val="left"/>
              <w:rPr/>
            </w:pPr>
            <w:r>
              <w:rPr/>
              <w:t>Dividends received from long-term equity investment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1,354,377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1,742,712</w:t>
            </w:r>
          </w:p>
        </w:tc>
        <w:tc>
          <w:tcPr>
            <w:tcW w:w="98" w:type="dxa"/>
            <w:tcBorders/>
            <w:shd w:fill="CCEEFF" w:val="clear"/>
            <w:vAlign w:val="center"/>
          </w:tcPr>
          <w:p>
            <w:pPr>
              <w:pStyle w:val="TableContents"/>
              <w:bidi w:val="0"/>
              <w:spacing w:before="0" w:after="283"/>
              <w:ind w:left="0" w:right="0" w:hanging="200"/>
              <w:jc w:val="left"/>
              <w:rPr/>
            </w:pPr>
            <w:r>
              <w:rPr/>
              <w:t> </w:t>
            </w:r>
            <w:bookmarkStart w:id="219" w:name="xdx_40F_ecustom--LoansToRelatedParties_i"/>
            <w:bookmarkEnd w:id="219"/>
          </w:p>
        </w:tc>
      </w:tr>
      <w:tr>
        <w:trPr/>
        <w:tc>
          <w:tcPr>
            <w:tcW w:w="7371" w:type="dxa"/>
            <w:tcBorders/>
            <w:shd w:fill="FFFFFF" w:val="clear"/>
            <w:vAlign w:val="center"/>
          </w:tcPr>
          <w:p>
            <w:pPr>
              <w:pStyle w:val="TableContents"/>
              <w:bidi w:val="0"/>
              <w:spacing w:before="0" w:after="283"/>
              <w:jc w:val="left"/>
              <w:rPr/>
            </w:pPr>
            <w:r>
              <w:rPr/>
              <w:t>Loans to related parties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(310,510</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ind w:left="0" w:right="0" w:hanging="200"/>
              <w:jc w:val="left"/>
              <w:rPr/>
            </w:pPr>
            <w:r>
              <w:rPr/>
              <w:t> </w:t>
            </w:r>
            <w:bookmarkStart w:id="220" w:name="xdx_40B_ecustom--CollectionOfLoansToRela"/>
            <w:bookmarkEnd w:id="220"/>
          </w:p>
        </w:tc>
      </w:tr>
      <w:tr>
        <w:trPr/>
        <w:tc>
          <w:tcPr>
            <w:tcW w:w="7371" w:type="dxa"/>
            <w:tcBorders/>
            <w:shd w:fill="CCEEFF" w:val="clear"/>
            <w:vAlign w:val="center"/>
          </w:tcPr>
          <w:p>
            <w:pPr>
              <w:pStyle w:val="TableContents"/>
              <w:bidi w:val="0"/>
              <w:spacing w:before="0" w:after="283"/>
              <w:jc w:val="left"/>
              <w:rPr/>
            </w:pPr>
            <w:r>
              <w:rPr/>
              <w:t>Collection of loans to related parties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179,036</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12,449</w:t>
            </w:r>
          </w:p>
        </w:tc>
        <w:tc>
          <w:tcPr>
            <w:tcW w:w="98" w:type="dxa"/>
            <w:tcBorders/>
            <w:shd w:fill="CCEEFF" w:val="clear"/>
            <w:vAlign w:val="center"/>
          </w:tcPr>
          <w:p>
            <w:pPr>
              <w:pStyle w:val="TableContents"/>
              <w:bidi w:val="0"/>
              <w:spacing w:before="0" w:after="283"/>
              <w:ind w:left="0" w:right="0" w:hanging="200"/>
              <w:jc w:val="left"/>
              <w:rPr/>
            </w:pPr>
            <w:r>
              <w:rPr/>
              <w:t> </w:t>
            </w:r>
            <w:bookmarkStart w:id="221" w:name="xdx_403_eus-gaap--NetCashProvidedByUsedI"/>
            <w:bookmarkEnd w:id="221"/>
          </w:p>
        </w:tc>
      </w:tr>
      <w:tr>
        <w:trPr/>
        <w:tc>
          <w:tcPr>
            <w:tcW w:w="7371" w:type="dxa"/>
            <w:tcBorders/>
            <w:shd w:fill="FFFFFF" w:val="clear"/>
            <w:vAlign w:val="center"/>
          </w:tcPr>
          <w:p>
            <w:pPr>
              <w:pStyle w:val="TableContents"/>
              <w:bidi w:val="0"/>
              <w:spacing w:before="0" w:after="283"/>
              <w:jc w:val="left"/>
              <w:rPr>
                <w:b/>
              </w:rPr>
            </w:pPr>
            <w:r>
              <w:rPr>
                <w:b/>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125,747</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445,627</w:t>
            </w:r>
          </w:p>
        </w:tc>
        <w:tc>
          <w:tcPr>
            <w:tcW w:w="98" w:type="dxa"/>
            <w:tcBorders/>
            <w:shd w:fill="FFFFFF" w:val="clear"/>
            <w:vAlign w:val="center"/>
          </w:tcPr>
          <w:p>
            <w:pPr>
              <w:pStyle w:val="TableContents"/>
              <w:bidi w:val="0"/>
              <w:spacing w:before="0" w:after="283"/>
              <w:ind w:left="0" w:right="0" w:hanging="200"/>
              <w:jc w:val="left"/>
              <w:rPr/>
            </w:pPr>
            <w:r>
              <w:rPr/>
              <w:t> </w:t>
            </w:r>
          </w:p>
        </w:tc>
      </w:tr>
      <w:tr>
        <w:trPr/>
        <w:tc>
          <w:tcPr>
            <w:tcW w:w="73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200"/>
              <w:jc w:val="left"/>
              <w:rPr/>
            </w:pPr>
            <w:r>
              <w:rPr/>
              <w:t> </w:t>
            </w:r>
            <w:bookmarkStart w:id="222" w:name="xdx_40A_eus-gaap--NetCashProvidedByUsedI"/>
            <w:bookmarkEnd w:id="222"/>
          </w:p>
        </w:tc>
      </w:tr>
      <w:tr>
        <w:trPr/>
        <w:tc>
          <w:tcPr>
            <w:tcW w:w="7371"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200"/>
              <w:jc w:val="left"/>
              <w:rPr/>
            </w:pPr>
            <w:r>
              <w:rPr/>
              <w:t> </w:t>
            </w:r>
            <w:bookmarkStart w:id="223" w:name="xdx_40A_ecustom--ProceedsFromShorttermBa"/>
            <w:bookmarkEnd w:id="223"/>
          </w:p>
        </w:tc>
      </w:tr>
      <w:tr>
        <w:trPr/>
        <w:tc>
          <w:tcPr>
            <w:tcW w:w="7371" w:type="dxa"/>
            <w:tcBorders/>
            <w:shd w:fill="CCEEFF" w:val="clear"/>
            <w:vAlign w:val="center"/>
          </w:tcPr>
          <w:p>
            <w:pPr>
              <w:pStyle w:val="TableContents"/>
              <w:bidi w:val="0"/>
              <w:spacing w:before="0" w:after="283"/>
              <w:jc w:val="left"/>
              <w:rPr/>
            </w:pPr>
            <w:r>
              <w:rPr/>
              <w:t>Proceeds from short-term bank borrowings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1,382,017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ind w:left="0" w:right="0" w:hanging="200"/>
              <w:jc w:val="left"/>
              <w:rPr/>
            </w:pPr>
            <w:r>
              <w:rPr/>
              <w:t> </w:t>
            </w:r>
            <w:bookmarkStart w:id="224" w:name="xdx_404_ecustom--RepaymentsOfShorttermBa"/>
            <w:bookmarkEnd w:id="224"/>
          </w:p>
        </w:tc>
      </w:tr>
      <w:tr>
        <w:trPr/>
        <w:tc>
          <w:tcPr>
            <w:tcW w:w="7371" w:type="dxa"/>
            <w:tcBorders/>
            <w:shd w:fill="FFFFFF" w:val="clear"/>
            <w:vAlign w:val="center"/>
          </w:tcPr>
          <w:p>
            <w:pPr>
              <w:pStyle w:val="TableContents"/>
              <w:bidi w:val="0"/>
              <w:spacing w:before="0" w:after="283"/>
              <w:jc w:val="left"/>
              <w:rPr/>
            </w:pPr>
            <w:r>
              <w:rPr/>
              <w:t>Repayments of short-term bank borrowings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(1,317,062</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ind w:left="0" w:right="0" w:hanging="200"/>
              <w:jc w:val="left"/>
              <w:rPr/>
            </w:pPr>
            <w:r>
              <w:rPr/>
              <w:t> </w:t>
            </w:r>
            <w:bookmarkStart w:id="225" w:name="xdx_407_ecustom--ContributionFromNoncont"/>
            <w:bookmarkEnd w:id="225"/>
          </w:p>
        </w:tc>
      </w:tr>
      <w:tr>
        <w:trPr/>
        <w:tc>
          <w:tcPr>
            <w:tcW w:w="7371" w:type="dxa"/>
            <w:tcBorders/>
            <w:shd w:fill="CCEEFF" w:val="clear"/>
            <w:vAlign w:val="center"/>
          </w:tcPr>
          <w:p>
            <w:pPr>
              <w:pStyle w:val="TableContents"/>
              <w:bidi w:val="0"/>
              <w:spacing w:before="0" w:after="283"/>
              <w:jc w:val="left"/>
              <w:rPr/>
            </w:pPr>
            <w:r>
              <w:rPr/>
              <w:t>Contribution from non-controlling shareholders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116,171</w:t>
            </w:r>
          </w:p>
        </w:tc>
        <w:tc>
          <w:tcPr>
            <w:tcW w:w="98" w:type="dxa"/>
            <w:tcBorders/>
            <w:shd w:fill="CCEEFF" w:val="clear"/>
            <w:vAlign w:val="center"/>
          </w:tcPr>
          <w:p>
            <w:pPr>
              <w:pStyle w:val="TableContents"/>
              <w:bidi w:val="0"/>
              <w:spacing w:before="0" w:after="283"/>
              <w:ind w:left="0" w:right="0" w:hanging="200"/>
              <w:jc w:val="left"/>
              <w:rPr/>
            </w:pPr>
            <w:r>
              <w:rPr/>
              <w:t> </w:t>
            </w:r>
            <w:bookmarkStart w:id="226" w:name="xdx_40D_eus-gaap--NetCashProvidedByUsedI"/>
            <w:bookmarkEnd w:id="226"/>
          </w:p>
        </w:tc>
      </w:tr>
      <w:tr>
        <w:trPr/>
        <w:tc>
          <w:tcPr>
            <w:tcW w:w="7371"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64,955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116,171</w:t>
            </w:r>
          </w:p>
        </w:tc>
        <w:tc>
          <w:tcPr>
            <w:tcW w:w="98" w:type="dxa"/>
            <w:tcBorders/>
            <w:shd w:fill="FFFFFF" w:val="clear"/>
            <w:vAlign w:val="center"/>
          </w:tcPr>
          <w:p>
            <w:pPr>
              <w:pStyle w:val="TableContents"/>
              <w:bidi w:val="0"/>
              <w:spacing w:before="0" w:after="283"/>
              <w:ind w:left="0" w:right="0" w:hanging="200"/>
              <w:jc w:val="left"/>
              <w:rPr/>
            </w:pPr>
            <w:r>
              <w:rPr/>
              <w:t> </w:t>
            </w:r>
          </w:p>
        </w:tc>
      </w:tr>
      <w:tr>
        <w:trPr/>
        <w:tc>
          <w:tcPr>
            <w:tcW w:w="73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200"/>
              <w:jc w:val="left"/>
              <w:rPr/>
            </w:pPr>
            <w:r>
              <w:rPr/>
              <w:t> </w:t>
            </w:r>
            <w:bookmarkStart w:id="227" w:name="xdx_401_eus-gaap--EffectOfExchangeRateOn"/>
            <w:bookmarkEnd w:id="227"/>
          </w:p>
        </w:tc>
      </w:tr>
      <w:tr>
        <w:trPr/>
        <w:tc>
          <w:tcPr>
            <w:tcW w:w="7371" w:type="dxa"/>
            <w:tcBorders/>
            <w:shd w:fill="FFFFFF" w:val="clear"/>
            <w:vAlign w:val="center"/>
          </w:tcPr>
          <w:p>
            <w:pPr>
              <w:pStyle w:val="TableContents"/>
              <w:bidi w:val="0"/>
              <w:spacing w:before="0" w:after="283"/>
              <w:jc w:val="left"/>
              <w:rPr/>
            </w:pPr>
            <w:r>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211,903</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884,072</w:t>
            </w:r>
          </w:p>
        </w:tc>
        <w:tc>
          <w:tcPr>
            <w:tcW w:w="98" w:type="dxa"/>
            <w:tcBorders/>
            <w:shd w:fill="FFFFFF" w:val="clear"/>
            <w:vAlign w:val="center"/>
          </w:tcPr>
          <w:p>
            <w:pPr>
              <w:pStyle w:val="TableContents"/>
              <w:bidi w:val="0"/>
              <w:spacing w:before="0" w:after="283"/>
              <w:ind w:left="0" w:right="0" w:hanging="200"/>
              <w:jc w:val="left"/>
              <w:rPr/>
            </w:pPr>
            <w:r>
              <w:rPr/>
              <w:t> </w:t>
            </w:r>
          </w:p>
        </w:tc>
      </w:tr>
      <w:tr>
        <w:trPr/>
        <w:tc>
          <w:tcPr>
            <w:tcW w:w="73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200"/>
              <w:jc w:val="left"/>
              <w:rPr/>
            </w:pPr>
            <w:r>
              <w:rPr/>
              <w:t> </w:t>
            </w:r>
            <w:bookmarkStart w:id="228" w:name="xdx_407_eus-gaap--CashCashEquivalentsRes"/>
            <w:bookmarkEnd w:id="228"/>
          </w:p>
        </w:tc>
      </w:tr>
      <w:tr>
        <w:trPr/>
        <w:tc>
          <w:tcPr>
            <w:tcW w:w="7371" w:type="dxa"/>
            <w:tcBorders/>
            <w:shd w:fill="FFFFFF" w:val="clear"/>
            <w:vAlign w:val="center"/>
          </w:tcPr>
          <w:p>
            <w:pPr>
              <w:pStyle w:val="TableContents"/>
              <w:bidi w:val="0"/>
              <w:spacing w:before="0" w:after="283"/>
              <w:jc w:val="left"/>
              <w:rPr>
                <w:b/>
              </w:rPr>
            </w:pPr>
            <w:r>
              <w:rPr>
                <w:b/>
              </w:rPr>
              <w:t>Net change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2,883,521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4,640,097</w:t>
            </w:r>
          </w:p>
        </w:tc>
        <w:tc>
          <w:tcPr>
            <w:tcW w:w="98" w:type="dxa"/>
            <w:tcBorders/>
            <w:shd w:fill="FFFFFF" w:val="clear"/>
            <w:vAlign w:val="center"/>
          </w:tcPr>
          <w:p>
            <w:pPr>
              <w:pStyle w:val="TableContents"/>
              <w:bidi w:val="0"/>
              <w:spacing w:before="0" w:after="283"/>
              <w:ind w:left="0" w:right="0" w:hanging="200"/>
              <w:jc w:val="left"/>
              <w:rPr/>
            </w:pPr>
            <w:r>
              <w:rPr/>
              <w:t> </w:t>
            </w:r>
          </w:p>
        </w:tc>
      </w:tr>
      <w:tr>
        <w:trPr/>
        <w:tc>
          <w:tcPr>
            <w:tcW w:w="73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200"/>
              <w:jc w:val="left"/>
              <w:rPr/>
            </w:pPr>
            <w:r>
              <w:rPr/>
              <w:t> </w:t>
            </w:r>
            <w:bookmarkStart w:id="229" w:name="xdx_403_eus-gaap--CashCashEquivalentsRes"/>
            <w:bookmarkEnd w:id="229"/>
          </w:p>
        </w:tc>
      </w:tr>
      <w:tr>
        <w:trPr/>
        <w:tc>
          <w:tcPr>
            <w:tcW w:w="7371" w:type="dxa"/>
            <w:tcBorders/>
            <w:shd w:fill="FFFFFF" w:val="clear"/>
            <w:vAlign w:val="center"/>
          </w:tcPr>
          <w:p>
            <w:pPr>
              <w:pStyle w:val="TableContents"/>
              <w:bidi w:val="0"/>
              <w:spacing w:before="0" w:after="283"/>
              <w:jc w:val="left"/>
              <w:rPr>
                <w:b/>
              </w:rPr>
            </w:pPr>
            <w:r>
              <w:rPr>
                <w:b/>
              </w:rPr>
              <w:t>Cash, cash equivalents and restricted cash at the beginning of period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13,052,455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16,388,000</w:t>
            </w:r>
          </w:p>
        </w:tc>
        <w:tc>
          <w:tcPr>
            <w:tcW w:w="98" w:type="dxa"/>
            <w:tcBorders/>
            <w:shd w:fill="FFFFFF" w:val="clear"/>
            <w:vAlign w:val="center"/>
          </w:tcPr>
          <w:p>
            <w:pPr>
              <w:pStyle w:val="TableContents"/>
              <w:bidi w:val="0"/>
              <w:spacing w:before="0" w:after="283"/>
              <w:ind w:left="0" w:right="0" w:hanging="200"/>
              <w:jc w:val="left"/>
              <w:rPr/>
            </w:pPr>
            <w:r>
              <w:rPr/>
              <w:t> </w:t>
            </w:r>
            <w:bookmarkStart w:id="230" w:name="xdx_400_eus-gaap--CashCashEquivalentsRes"/>
            <w:bookmarkEnd w:id="230"/>
          </w:p>
        </w:tc>
      </w:tr>
      <w:tr>
        <w:trPr/>
        <w:tc>
          <w:tcPr>
            <w:tcW w:w="7371" w:type="dxa"/>
            <w:tcBorders/>
            <w:shd w:fill="CCEEFF" w:val="clear"/>
            <w:vAlign w:val="center"/>
          </w:tcPr>
          <w:p>
            <w:pPr>
              <w:pStyle w:val="TableContents"/>
              <w:bidi w:val="0"/>
              <w:spacing w:before="0" w:after="283"/>
              <w:jc w:val="left"/>
              <w:rPr>
                <w:b/>
              </w:rPr>
            </w:pPr>
            <w:r>
              <w:rPr>
                <w:b/>
              </w:rPr>
              <w:t>Cash, cash equivalents and restricted cash at the end of period</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15,935,976</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21,028,097</w:t>
            </w:r>
          </w:p>
        </w:tc>
        <w:tc>
          <w:tcPr>
            <w:tcW w:w="98" w:type="dxa"/>
            <w:tcBorders/>
            <w:shd w:fill="CCEEFF" w:val="clear"/>
            <w:vAlign w:val="center"/>
          </w:tcPr>
          <w:p>
            <w:pPr>
              <w:pStyle w:val="TableContents"/>
              <w:bidi w:val="0"/>
              <w:spacing w:before="0" w:after="283"/>
              <w:ind w:left="0" w:right="0" w:hanging="200"/>
              <w:jc w:val="left"/>
              <w:rPr/>
            </w:pPr>
            <w:r>
              <w:rPr/>
              <w:t> </w:t>
            </w:r>
          </w:p>
        </w:tc>
      </w:tr>
      <w:tr>
        <w:trPr/>
        <w:tc>
          <w:tcPr>
            <w:tcW w:w="73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200"/>
              <w:jc w:val="left"/>
              <w:rPr/>
            </w:pPr>
            <w:r>
              <w:rPr/>
              <w:t> </w:t>
            </w:r>
          </w:p>
        </w:tc>
      </w:tr>
      <w:tr>
        <w:trPr/>
        <w:tc>
          <w:tcPr>
            <w:tcW w:w="7371" w:type="dxa"/>
            <w:tcBorders/>
            <w:shd w:fill="CCEEFF" w:val="clear"/>
            <w:vAlign w:val="center"/>
          </w:tcPr>
          <w:p>
            <w:pPr>
              <w:pStyle w:val="TableContents"/>
              <w:bidi w:val="0"/>
              <w:spacing w:before="0" w:after="283"/>
              <w:jc w:val="left"/>
              <w:rPr/>
            </w:pPr>
            <w:r>
              <w:rPr/>
              <w:t>The following table provides a reconciliation of cash and cash equivalents and restricted cash reported within the unaudited Condensed Consolidated Balance Sheets that sum to the total of the same amounts shown in the unaudited Condensed Consolidated Statements of Cash Flows: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200"/>
              <w:jc w:val="left"/>
              <w:rPr/>
            </w:pPr>
            <w:r>
              <w:rPr/>
              <w:t> </w:t>
            </w:r>
            <w:bookmarkStart w:id="231" w:name="xdx_409_ecustom--CashAndCashEquivalents_"/>
            <w:bookmarkEnd w:id="231"/>
          </w:p>
        </w:tc>
      </w:tr>
      <w:tr>
        <w:trPr/>
        <w:tc>
          <w:tcPr>
            <w:tcW w:w="7371"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14,450,968</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16,543,610</w:t>
            </w:r>
          </w:p>
        </w:tc>
        <w:tc>
          <w:tcPr>
            <w:tcW w:w="98" w:type="dxa"/>
            <w:tcBorders/>
            <w:shd w:fill="FFFFFF" w:val="clear"/>
            <w:vAlign w:val="center"/>
          </w:tcPr>
          <w:p>
            <w:pPr>
              <w:pStyle w:val="TableContents"/>
              <w:bidi w:val="0"/>
              <w:spacing w:before="0" w:after="283"/>
              <w:ind w:left="0" w:right="0" w:hanging="200"/>
              <w:jc w:val="left"/>
              <w:rPr/>
            </w:pPr>
            <w:r>
              <w:rPr/>
              <w:t> </w:t>
            </w:r>
            <w:bookmarkStart w:id="232" w:name="xdx_401_ecustom--RestrictedCashs_maTCACE"/>
            <w:bookmarkEnd w:id="232"/>
          </w:p>
        </w:tc>
      </w:tr>
      <w:tr>
        <w:trPr/>
        <w:tc>
          <w:tcPr>
            <w:tcW w:w="7371"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1,485,008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4,484,487</w:t>
            </w:r>
          </w:p>
        </w:tc>
        <w:tc>
          <w:tcPr>
            <w:tcW w:w="98" w:type="dxa"/>
            <w:tcBorders/>
            <w:shd w:fill="CCEEFF" w:val="clear"/>
            <w:vAlign w:val="center"/>
          </w:tcPr>
          <w:p>
            <w:pPr>
              <w:pStyle w:val="TableContents"/>
              <w:bidi w:val="0"/>
              <w:spacing w:before="0" w:after="283"/>
              <w:ind w:left="0" w:right="0" w:hanging="200"/>
              <w:jc w:val="left"/>
              <w:rPr/>
            </w:pPr>
            <w:r>
              <w:rPr/>
              <w:t> </w:t>
            </w:r>
            <w:bookmarkStart w:id="233" w:name="xdx_40D_ecustom--TotalCashAndCashEquival"/>
            <w:bookmarkEnd w:id="233"/>
          </w:p>
        </w:tc>
      </w:tr>
      <w:tr>
        <w:trPr/>
        <w:tc>
          <w:tcPr>
            <w:tcW w:w="7371" w:type="dxa"/>
            <w:tcBorders/>
            <w:shd w:fill="FFFFFF" w:val="clear"/>
            <w:vAlign w:val="center"/>
          </w:tcPr>
          <w:p>
            <w:pPr>
              <w:pStyle w:val="TableContents"/>
              <w:bidi w:val="0"/>
              <w:spacing w:before="0" w:after="283"/>
              <w:jc w:val="left"/>
              <w:rPr/>
            </w:pPr>
            <w:r>
              <w:rPr/>
              <w:t>Total cash and cash equivalents and restricted cash shown in the unaudited Condensed Consolidated Statements of Cash Flows</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15,935,976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21,028,097</w:t>
            </w:r>
          </w:p>
        </w:tc>
        <w:tc>
          <w:tcPr>
            <w:tcW w:w="98" w:type="dxa"/>
            <w:tcBorders/>
            <w:shd w:fill="FFFFFF" w:val="clear"/>
            <w:vAlign w:val="center"/>
          </w:tcPr>
          <w:p>
            <w:pPr>
              <w:pStyle w:val="TableContents"/>
              <w:bidi w:val="0"/>
              <w:spacing w:before="0" w:after="283"/>
              <w:ind w:left="0" w:right="0" w:hanging="200"/>
              <w:jc w:val="left"/>
              <w:rPr/>
            </w:pPr>
            <w:r>
              <w:rPr/>
              <w:t> </w:t>
            </w:r>
          </w:p>
        </w:tc>
      </w:tr>
      <w:tr>
        <w:trPr/>
        <w:tc>
          <w:tcPr>
            <w:tcW w:w="73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200"/>
              <w:jc w:val="left"/>
              <w:rPr/>
            </w:pPr>
            <w:r>
              <w:rPr/>
              <w:t> </w:t>
            </w:r>
            <w:bookmarkStart w:id="234" w:name="xdx_40E_eus-gaap--SupplementalCashFlowIn"/>
            <w:bookmarkEnd w:id="234"/>
          </w:p>
        </w:tc>
      </w:tr>
      <w:tr>
        <w:trPr/>
        <w:tc>
          <w:tcPr>
            <w:tcW w:w="7371"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200"/>
              <w:jc w:val="left"/>
              <w:rPr/>
            </w:pPr>
            <w:r>
              <w:rPr/>
              <w:t> </w:t>
            </w:r>
            <w:bookmarkStart w:id="235" w:name="xdx_40D_eus-gaap--IncomeTaxesPaidNet_i01"/>
            <w:bookmarkEnd w:id="235"/>
          </w:p>
        </w:tc>
      </w:tr>
      <w:tr>
        <w:trPr/>
        <w:tc>
          <w:tcPr>
            <w:tcW w:w="7371" w:type="dxa"/>
            <w:tcBorders/>
            <w:shd w:fill="CCEEFF" w:val="clear"/>
            <w:vAlign w:val="center"/>
          </w:tcPr>
          <w:p>
            <w:pPr>
              <w:pStyle w:val="TableContents"/>
              <w:bidi w:val="0"/>
              <w:spacing w:before="0" w:after="283"/>
              <w:jc w:val="left"/>
              <w:rPr/>
            </w:pPr>
            <w:r>
              <w:rPr/>
              <w:t>Income tax paid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781,335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1,839,031</w:t>
            </w:r>
          </w:p>
        </w:tc>
        <w:tc>
          <w:tcPr>
            <w:tcW w:w="98" w:type="dxa"/>
            <w:tcBorders/>
            <w:shd w:fill="CCEEFF" w:val="clear"/>
            <w:vAlign w:val="center"/>
          </w:tcPr>
          <w:p>
            <w:pPr>
              <w:pStyle w:val="TableContents"/>
              <w:bidi w:val="0"/>
              <w:spacing w:before="0" w:after="283"/>
              <w:ind w:left="0" w:right="0" w:hanging="200"/>
              <w:jc w:val="left"/>
              <w:rPr/>
            </w:pPr>
            <w:r>
              <w:rPr/>
              <w:t> </w:t>
            </w:r>
            <w:bookmarkStart w:id="236" w:name="xdx_40D_eus-gaap--InterestPaidNet_i01_zV"/>
            <w:bookmarkEnd w:id="236"/>
          </w:p>
        </w:tc>
      </w:tr>
      <w:tr>
        <w:trPr/>
        <w:tc>
          <w:tcPr>
            <w:tcW w:w="7371" w:type="dxa"/>
            <w:tcBorders/>
            <w:shd w:fill="FFFFFF" w:val="clear"/>
            <w:vAlign w:val="center"/>
          </w:tcPr>
          <w:p>
            <w:pPr>
              <w:pStyle w:val="TableContents"/>
              <w:bidi w:val="0"/>
              <w:spacing w:before="0" w:after="283"/>
              <w:jc w:val="left"/>
              <w:rPr/>
            </w:pPr>
            <w:r>
              <w:rPr/>
              <w:t>Interest expenses paid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6,064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ind w:left="0" w:right="0" w:hanging="200"/>
              <w:jc w:val="left"/>
              <w:rPr/>
            </w:pPr>
            <w:r>
              <w:rPr/>
              <w:t> </w:t>
            </w:r>
          </w:p>
        </w:tc>
      </w:tr>
      <w:tr>
        <w:trPr/>
        <w:tc>
          <w:tcPr>
            <w:tcW w:w="73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200"/>
              <w:jc w:val="left"/>
              <w:rPr/>
            </w:pPr>
            <w:r>
              <w:rPr/>
              <w:t> </w:t>
            </w:r>
            <w:bookmarkStart w:id="237" w:name="xdx_40C_eus-gaap--NoncashInvestingAndFin"/>
            <w:bookmarkEnd w:id="237"/>
          </w:p>
        </w:tc>
      </w:tr>
      <w:tr>
        <w:trPr/>
        <w:tc>
          <w:tcPr>
            <w:tcW w:w="7371" w:type="dxa"/>
            <w:tcBorders/>
            <w:shd w:fill="FFFFFF" w:val="clear"/>
            <w:vAlign w:val="center"/>
          </w:tcPr>
          <w:p>
            <w:pPr>
              <w:pStyle w:val="TableContents"/>
              <w:bidi w:val="0"/>
              <w:spacing w:before="0" w:after="283"/>
              <w:jc w:val="left"/>
              <w:rPr>
                <w:b/>
              </w:rPr>
            </w:pPr>
            <w:r>
              <w:rPr>
                <w:b/>
              </w:rPr>
              <w:t>Supplemental disclosures of non-cash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200"/>
              <w:jc w:val="left"/>
              <w:rPr/>
            </w:pPr>
            <w:r>
              <w:rPr/>
              <w:t> </w:t>
            </w:r>
            <w:bookmarkStart w:id="238" w:name="xdx_40C_ecustom--ObtainingOperatingRight"/>
            <w:bookmarkEnd w:id="238"/>
          </w:p>
        </w:tc>
      </w:tr>
      <w:tr>
        <w:trPr/>
        <w:tc>
          <w:tcPr>
            <w:tcW w:w="7371" w:type="dxa"/>
            <w:tcBorders/>
            <w:shd w:fill="CCEEFF" w:val="clear"/>
            <w:vAlign w:val="center"/>
          </w:tcPr>
          <w:p>
            <w:pPr>
              <w:pStyle w:val="TableContents"/>
              <w:bidi w:val="0"/>
              <w:spacing w:before="0" w:after="283"/>
              <w:jc w:val="left"/>
              <w:rPr/>
            </w:pPr>
            <w:r>
              <w:rPr/>
              <w:t>Obtaining operating right-of-use assets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21,361</w:t>
            </w:r>
          </w:p>
        </w:tc>
        <w:tc>
          <w:tcPr>
            <w:tcW w:w="98" w:type="dxa"/>
            <w:tcBorders/>
            <w:shd w:fill="CCEEFF" w:val="clear"/>
            <w:vAlign w:val="center"/>
          </w:tcPr>
          <w:p>
            <w:pPr>
              <w:pStyle w:val="TableContents"/>
              <w:bidi w:val="0"/>
              <w:spacing w:before="0" w:after="283"/>
              <w:ind w:left="0" w:right="0" w:hanging="200"/>
              <w:jc w:val="left"/>
              <w:rPr/>
            </w:pPr>
            <w:r>
              <w:rPr/>
              <w:t> </w:t>
            </w:r>
            <w:bookmarkStart w:id="239" w:name="xdx_40F_ecustom--AcquiringPropertyPlantA"/>
            <w:bookmarkEnd w:id="239"/>
          </w:p>
        </w:tc>
      </w:tr>
      <w:tr>
        <w:trPr/>
        <w:tc>
          <w:tcPr>
            <w:tcW w:w="7371" w:type="dxa"/>
            <w:tcBorders/>
            <w:shd w:fill="FFFFFF" w:val="clear"/>
            <w:vAlign w:val="center"/>
          </w:tcPr>
          <w:p>
            <w:pPr>
              <w:pStyle w:val="TableContents"/>
              <w:bidi w:val="0"/>
              <w:spacing w:before="0" w:after="283"/>
              <w:jc w:val="left"/>
              <w:rPr/>
            </w:pPr>
            <w:r>
              <w:rPr/>
              <w:t>Acquiring property, plant and equipment transferred from construction in progress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284,456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155,923</w:t>
            </w:r>
          </w:p>
        </w:tc>
        <w:tc>
          <w:tcPr>
            <w:tcW w:w="98" w:type="dxa"/>
            <w:tcBorders/>
            <w:shd w:fill="FFFFFF" w:val="clear"/>
            <w:vAlign w:val="center"/>
          </w:tcPr>
          <w:p>
            <w:pPr>
              <w:pStyle w:val="TableContents"/>
              <w:bidi w:val="0"/>
              <w:spacing w:before="0" w:after="283"/>
              <w:ind w:left="0" w:right="0" w:hanging="200"/>
              <w:jc w:val="left"/>
              <w:rPr/>
            </w:pPr>
            <w:r>
              <w:rPr/>
              <w:t> </w:t>
            </w:r>
            <w:bookmarkStart w:id="240" w:name="xdx_409_ecustom--AcquiringPropertyPlantA"/>
            <w:bookmarkEnd w:id="240"/>
          </w:p>
        </w:tc>
      </w:tr>
      <w:tr>
        <w:trPr/>
        <w:tc>
          <w:tcPr>
            <w:tcW w:w="7371" w:type="dxa"/>
            <w:tcBorders/>
            <w:shd w:fill="CCEEFF" w:val="clear"/>
            <w:vAlign w:val="center"/>
          </w:tcPr>
          <w:p>
            <w:pPr>
              <w:pStyle w:val="TableContents"/>
              <w:bidi w:val="0"/>
              <w:spacing w:before="0" w:after="283"/>
              <w:jc w:val="left"/>
              <w:rPr/>
            </w:pPr>
            <w:r>
              <w:rPr/>
              <w:t>Acquiring property, plant and equipment in exchange for accounts payable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719,921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117,459</w:t>
            </w:r>
          </w:p>
        </w:tc>
        <w:tc>
          <w:tcPr>
            <w:tcW w:w="98"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F-5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i w:val="false"/>
          <w:caps w:val="false"/>
          <w:smallCaps w:val="false"/>
          <w:sz w:val="20"/>
        </w:rPr>
      </w:pPr>
      <w:bookmarkStart w:id="241" w:name="a_005"/>
      <w:bookmarkEnd w:id="241"/>
      <w:r>
        <w:rPr>
          <w:rFonts w:ascii="Times New Roman;Times;Serif" w:hAnsi="Times New Roman;Times;Serif"/>
          <w:b/>
          <w:i w:val="false"/>
          <w:caps w:val="false"/>
          <w:smallCaps w:val="false"/>
          <w:sz w:val="20"/>
        </w:rPr>
        <w:t>NOTES TO THE CONSOLIDATED FINANCIAL STATEMENTS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U.S. dollars, except for the number of shares data, unless otherwise stated).</w:t>
      </w:r>
    </w:p>
    <w:p>
      <w:pPr>
        <w:pStyle w:val="TextBody"/>
        <w:bidi w:val="0"/>
        <w:jc w:val="center"/>
        <w:rPr>
          <w:caps w:val="false"/>
          <w:smallCaps w:val="false"/>
        </w:rPr>
      </w:pPr>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242" w:name="xdx_80E_eus-gaap--OrganizationConsolidat"/>
      <w:bookmarkEnd w:id="242"/>
      <w:r>
        <w:rPr>
          <w:rFonts w:ascii="Times New Roman;Times;Serif" w:hAnsi="Times New Roman;Times;Serif"/>
          <w:b/>
          <w:i w:val="false"/>
          <w:caps w:val="false"/>
          <w:smallCaps w:val="false"/>
          <w:sz w:val="20"/>
        </w:rPr>
        <w:t xml:space="preserve">1. </w:t>
      </w:r>
      <w:bookmarkStart w:id="243" w:name="xdx_82A_zVfapBSfWPwk"/>
      <w:bookmarkEnd w:id="243"/>
      <w:r>
        <w:rPr>
          <w:rFonts w:ascii="Times New Roman;Times;Serif" w:hAnsi="Times New Roman;Times;Serif"/>
          <w:b/>
          <w:i w:val="false"/>
          <w:caps w:val="false"/>
          <w:smallCaps w:val="false"/>
          <w:sz w:val="20"/>
        </w:rPr>
        <w:t xml:space="preserve">ORGANIZATION </w:t>
      </w:r>
    </w:p>
    <w:p>
      <w:pPr>
        <w:pStyle w:val="TextBody"/>
        <w:bidi w:val="0"/>
        <w:ind w:left="647" w:right="0" w:hanging="647"/>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(“Zhongjinke”) and its consolidated subsidiaries (collectively referred to as the “Company”) are in the business of manufacturing and sale of hardware products. The Company mainly sells its hardware products to customers in People’s Republic of China (“PRC”) and aspires to sell to customers globally including the US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Zhongjinke is a holding company incorporated in the Cayman Islands on May 11, 2022, under the Cayman Islands Act as an exempted company with limited liability. Zhongjinke has no substantive operations other than conducting its business through its operating entities in PRC and Vietnam.</w:t>
      </w:r>
    </w:p>
    <w:p>
      <w:pPr>
        <w:pStyle w:val="TextBody"/>
        <w:bidi w:val="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245"/>
        <w:gridCol w:w="21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(a)</w:t>
            </w:r>
          </w:p>
        </w:tc>
        <w:tc>
          <w:tcPr>
            <w:tcW w:w="2120" w:type="dxa"/>
            <w:tcBorders/>
            <w:vAlign w:val="center"/>
          </w:tcPr>
          <w:p>
            <w:pPr>
              <w:pStyle w:val="TableContents"/>
              <w:bidi w:val="0"/>
              <w:spacing w:before="0" w:after="283"/>
              <w:jc w:val="left"/>
              <w:rPr>
                <w:b/>
                <w:sz w:val="20"/>
              </w:rPr>
            </w:pPr>
            <w:r>
              <w:rPr>
                <w:b/>
                <w:sz w:val="20"/>
              </w:rPr>
              <w:t>Business Reorganization</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anticipation of an IPO of its equity securities, Zhongjinke undertook a series of reorganization which was completed on March 28, 2023. The reorganization involved the incorporation of Zhongjinke, ZJK Enterprises Group (BVI) Company Limited (“Zhongjinke BVI”), ZJK Industrial Group HongKong Limited (“Zhongjinke HK”) in May 2022, and execution of Share Exchange Agreement among Zhongke Chuangwei (Shenzhen) International Holdings Limited (“Zhongjinke WFOE”). On June 13, 2022, Zhongjinke BVI established Zhongjinke HK which was incorporated in Hong Kong with a registered capital of HKD1 and wholly owned by Zhongjinke BVI. On January 6, 2023, Zhongjinke HK acquired Galaxy Exploration Investment Holding Limited (“Galaxy Investment”) by the consideration of </w:t>
      </w:r>
      <w:bookmarkStart w:id="244" w:name="xdx_900_ecustom--IssuanceOfOrdinaryShare"/>
      <w:bookmarkEnd w:id="244"/>
      <w:r>
        <w:rPr>
          <w:rFonts w:ascii="Times New Roman;Times;Serif" w:hAnsi="Times New Roman;Times;Serif"/>
          <w:b w:val="false"/>
          <w:i w:val="false"/>
          <w:caps w:val="false"/>
          <w:smallCaps w:val="false"/>
          <w:sz w:val="20"/>
        </w:rPr>
        <w:t>1,500,000 ordinary shares of ZJK Industrial Co., Ltd., through which, Galaxy Investment is wholly owned by Zhongjinke HK and Zhongjinke BVI.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Shenzhen Zhongjinke Hardware Products Co., Ltd (“Zhongjinke Shenzhen”) and Galaxy Investment signed a “Share Exchange Agreement” in March 2023 whereby Zhongjinke WFOE took control of Zhongjinke Shenzhen and its subsidiaries by exchanging </w:t>
      </w:r>
      <w:bookmarkStart w:id="245" w:name="xdx_90B_ecustom--EquityInterest_dp_c2023"/>
      <w:bookmarkEnd w:id="245"/>
      <w:r>
        <w:rPr>
          <w:rFonts w:ascii="Times New Roman;Times;Serif" w:hAnsi="Times New Roman;Times;Serif"/>
          <w:b w:val="false"/>
          <w:i w:val="false"/>
          <w:caps w:val="false"/>
          <w:smallCaps w:val="false"/>
          <w:sz w:val="20"/>
        </w:rPr>
        <w:t xml:space="preserve">99.225% of the outstanding shares of Zhongjinke Shenzhen with ordinary shares of Zhongjinke WFOE, remaining </w:t>
      </w:r>
      <w:bookmarkStart w:id="246" w:name="xdx_90E_ecustom--EquityInterest_dp_c2023"/>
      <w:bookmarkEnd w:id="246"/>
      <w:r>
        <w:rPr>
          <w:rFonts w:ascii="Times New Roman;Times;Serif" w:hAnsi="Times New Roman;Times;Serif"/>
          <w:b w:val="false"/>
          <w:i w:val="false"/>
          <w:caps w:val="false"/>
          <w:smallCaps w:val="false"/>
          <w:sz w:val="20"/>
        </w:rPr>
        <w:t>0.775% of the outstanding shares of Zhongjinke Shenzhen are held by Galaxy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28, 2023, the date of the completion of reorganization, the Company was authorized to issue </w:t>
      </w:r>
      <w:bookmarkStart w:id="247" w:name="xdx_90D_eus-gaap--SharesIssued_iI_c20230"/>
      <w:bookmarkEnd w:id="247"/>
      <w:r>
        <w:rPr>
          <w:rFonts w:ascii="Times New Roman;Times;Serif" w:hAnsi="Times New Roman;Times;Serif"/>
          <w:b w:val="false"/>
          <w:i w:val="false"/>
          <w:caps w:val="false"/>
          <w:smallCaps w:val="false"/>
          <w:sz w:val="20"/>
        </w:rPr>
        <w:t>500,000,000 Ordinary Shares with a par value of $</w:t>
      </w:r>
      <w:bookmarkStart w:id="248" w:name="xdx_900_eus-gaap--CommonStockParOrStated"/>
      <w:bookmarkEnd w:id="248"/>
      <w:r>
        <w:rPr>
          <w:rFonts w:ascii="Times New Roman;Times;Serif" w:hAnsi="Times New Roman;Times;Serif"/>
          <w:b w:val="false"/>
          <w:i w:val="false"/>
          <w:caps w:val="false"/>
          <w:smallCaps w:val="false"/>
          <w:sz w:val="20"/>
        </w:rPr>
        <w:t xml:space="preserve">0.0001 each, and there was </w:t>
      </w:r>
      <w:bookmarkStart w:id="249" w:name="xdx_901_eus-gaap--CommonStockOtherShares"/>
      <w:bookmarkEnd w:id="249"/>
      <w:r>
        <w:rPr>
          <w:rFonts w:ascii="Times New Roman;Times;Serif" w:hAnsi="Times New Roman;Times;Serif"/>
          <w:b w:val="false"/>
          <w:i w:val="false"/>
          <w:caps w:val="false"/>
          <w:smallCaps w:val="false"/>
          <w:sz w:val="20"/>
        </w:rPr>
        <w:t>10,000,000 Ordinary Shares issued and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fact that Zhongjinke and its subsidiaries were effectively controlled by the same group of shareholders immediately before and after the reorganization completed in March 2023, as described above, the reorganization was accounted for as a recapitalization. As a result, the Company’s unaudited condensed consolidated financial statements have been prepared as if the current corporate structure has been in existence throughout the periods presented.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issuance date of this financial report, the details of subsidiaries are as follows. All subsidiaries are owned by Zhongjinke through equity investment. We do not have a variable interest entity structure.</w:t>
      </w:r>
    </w:p>
    <w:p>
      <w:pPr>
        <w:pStyle w:val="TextBody"/>
        <w:bidi w:val="0"/>
        <w:jc w:val="both"/>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250" w:name="xdx_23A_zgRXXF46WJJ3"/>
      <w:bookmarkEnd w:id="250"/>
      <w:r>
        <w:rPr>
          <w:caps w:val="false"/>
          <w:smallCaps w:val="false"/>
        </w:rPr>
        <w:t>  </w:t>
      </w:r>
    </w:p>
    <w:p>
      <w:pPr>
        <w:pStyle w:val="Normal"/>
        <w:bidi w:val="0"/>
        <w:spacing w:before="0" w:after="0"/>
        <w:jc w:val="left"/>
        <w:rPr>
          <w:sz w:val="4"/>
          <w:szCs w:val="4"/>
        </w:rPr>
      </w:pPr>
      <w:r>
        <w:rPr>
          <w:sz w:val="4"/>
          <w:szCs w:val="4"/>
        </w:rPr>
      </w:r>
      <w:bookmarkStart w:id="251" w:name="xdx_891_ecustom--ScheduleOfAccompanyingC"/>
      <w:bookmarkStart w:id="252" w:name="xdx_891_ecustom--ScheduleOfAccompanyingC"/>
      <w:bookmarkEnd w:id="252"/>
    </w:p>
    <w:tbl>
      <w:tblPr>
        <w:tblW w:w="10205" w:type="dxa"/>
        <w:jc w:val="left"/>
        <w:tblInd w:w="0" w:type="dxa"/>
        <w:tblLayout w:type="fixed"/>
        <w:tblCellMar>
          <w:top w:w="0" w:type="dxa"/>
          <w:left w:w="0" w:type="dxa"/>
          <w:bottom w:w="0" w:type="dxa"/>
          <w:right w:w="0" w:type="dxa"/>
        </w:tblCellMar>
      </w:tblPr>
      <w:tblGrid>
        <w:gridCol w:w="2742"/>
        <w:gridCol w:w="60"/>
        <w:gridCol w:w="1152"/>
        <w:gridCol w:w="60"/>
        <w:gridCol w:w="2599"/>
        <w:gridCol w:w="60"/>
        <w:gridCol w:w="60"/>
        <w:gridCol w:w="1390"/>
        <w:gridCol w:w="60"/>
        <w:gridCol w:w="60"/>
        <w:gridCol w:w="1962"/>
      </w:tblGrid>
      <w:tr>
        <w:trPr/>
        <w:tc>
          <w:tcPr>
            <w:tcW w:w="2742" w:type="dxa"/>
            <w:tcBorders/>
            <w:shd w:fill="FFFFFF" w:val="clear"/>
            <w:vAlign w:val="center"/>
          </w:tcPr>
          <w:p>
            <w:pPr>
              <w:pStyle w:val="TableContents"/>
              <w:bidi w:val="0"/>
              <w:spacing w:before="0" w:after="283"/>
              <w:ind w:left="0" w:right="0" w:hanging="200"/>
              <w:jc w:val="left"/>
              <w:rPr/>
            </w:pPr>
            <w:r>
              <w:rPr/>
              <w:t> </w:t>
            </w:r>
            <w:bookmarkStart w:id="253" w:name="xdx_8B4_zaWDjOlxh7W4"/>
            <w:bookmarkEnd w:id="253"/>
            <w:r>
              <w:rPr/>
              <w:t xml:space="preserve">Schedule of Entity </w:t>
            </w:r>
          </w:p>
        </w:tc>
        <w:tc>
          <w:tcPr>
            <w:tcW w:w="60"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2" w:type="dxa"/>
            <w:tcBorders/>
            <w:shd w:fill="FFFFFF" w:val="clear"/>
            <w:vAlign w:val="center"/>
          </w:tcPr>
          <w:p>
            <w:pPr>
              <w:pStyle w:val="TableContents"/>
              <w:bidi w:val="0"/>
              <w:spacing w:before="0" w:after="283"/>
              <w:ind w:left="0" w:right="0" w:hanging="200"/>
              <w:jc w:val="left"/>
              <w:rPr/>
            </w:pPr>
            <w:r>
              <w:rPr/>
              <w:t> </w:t>
            </w:r>
          </w:p>
        </w:tc>
      </w:tr>
      <w:tr>
        <w:trPr/>
        <w:tc>
          <w:tcPr>
            <w:tcW w:w="27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2" w:type="dxa"/>
            <w:tcBorders/>
            <w:shd w:fill="FFFFFF" w:val="clear"/>
            <w:vAlign w:val="center"/>
          </w:tcPr>
          <w:p>
            <w:pPr>
              <w:pStyle w:val="TableContents"/>
              <w:bidi w:val="0"/>
              <w:spacing w:before="0" w:after="283"/>
              <w:ind w:left="0" w:right="0" w:hanging="200"/>
              <w:jc w:val="left"/>
              <w:rPr/>
            </w:pPr>
            <w:r>
              <w:rPr/>
              <w:t> </w:t>
            </w:r>
          </w:p>
        </w:tc>
      </w:tr>
      <w:tr>
        <w:trPr/>
        <w:tc>
          <w:tcPr>
            <w:tcW w:w="2742"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Entity name</w:t>
            </w:r>
          </w:p>
        </w:tc>
        <w:tc>
          <w:tcPr>
            <w:tcW w:w="60" w:type="dxa"/>
            <w:tcBorders/>
            <w:vAlign w:val="center"/>
          </w:tcPr>
          <w:p>
            <w:pPr>
              <w:pStyle w:val="TableContents"/>
              <w:bidi w:val="0"/>
              <w:spacing w:before="0" w:after="283"/>
              <w:jc w:val="left"/>
              <w:rPr/>
            </w:pPr>
            <w:r>
              <w:rPr/>
              <w:t> </w:t>
            </w:r>
          </w:p>
        </w:tc>
        <w:tc>
          <w:tcPr>
            <w:tcW w:w="1152"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Registered Location</w:t>
            </w:r>
          </w:p>
        </w:tc>
        <w:tc>
          <w:tcPr>
            <w:tcW w:w="60" w:type="dxa"/>
            <w:tcBorders/>
            <w:vAlign w:val="center"/>
          </w:tcPr>
          <w:p>
            <w:pPr>
              <w:pStyle w:val="TableContents"/>
              <w:bidi w:val="0"/>
              <w:spacing w:before="0" w:after="283"/>
              <w:jc w:val="left"/>
              <w:rPr/>
            </w:pPr>
            <w:r>
              <w:rPr/>
              <w:t> </w:t>
            </w:r>
          </w:p>
        </w:tc>
        <w:tc>
          <w:tcPr>
            <w:tcW w:w="2599"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Percentage of direct ownership</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Date of incorporation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2" w:type="dxa"/>
            <w:tcBorders>
              <w:bottom w:val="single" w:sz="8" w:space="0" w:color="000000"/>
            </w:tcBorders>
            <w:tcMar>
              <w:bottom w:w="28" w:type="dxa"/>
            </w:tcMar>
            <w:vAlign w:val="center"/>
          </w:tcPr>
          <w:p>
            <w:pPr>
              <w:pStyle w:val="TableContents"/>
              <w:bidi w:val="0"/>
              <w:spacing w:before="0" w:after="283"/>
              <w:ind w:left="0" w:right="0" w:hanging="200"/>
              <w:jc w:val="center"/>
              <w:rPr>
                <w:b/>
                <w:sz w:val="20"/>
              </w:rPr>
            </w:pPr>
            <w:r>
              <w:rPr>
                <w:b/>
                <w:sz w:val="20"/>
              </w:rPr>
              <w:t>Principal activities</w:t>
            </w:r>
          </w:p>
        </w:tc>
      </w:tr>
      <w:tr>
        <w:trPr/>
        <w:tc>
          <w:tcPr>
            <w:tcW w:w="2742" w:type="dxa"/>
            <w:tcBorders/>
            <w:shd w:fill="CCEEFF" w:val="clear"/>
            <w:vAlign w:val="center"/>
          </w:tcPr>
          <w:p>
            <w:pPr>
              <w:pStyle w:val="TableContents"/>
              <w:bidi w:val="0"/>
              <w:spacing w:before="0" w:after="283"/>
              <w:jc w:val="left"/>
              <w:rPr>
                <w:sz w:val="20"/>
              </w:rPr>
            </w:pPr>
            <w:bookmarkStart w:id="254" w:name="xdx_90F_eus-gaap--BusinessAcquisitionNam"/>
            <w:bookmarkEnd w:id="254"/>
            <w:r>
              <w:rPr>
                <w:sz w:val="20"/>
              </w:rPr>
              <w:t>Zhongjinke BVI</w:t>
            </w:r>
          </w:p>
        </w:tc>
        <w:tc>
          <w:tcPr>
            <w:tcW w:w="60"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sz w:val="20"/>
              </w:rPr>
            </w:pPr>
            <w:bookmarkStart w:id="255" w:name="xdx_907_ecustom--BusinessAcquisitionName"/>
            <w:bookmarkEnd w:id="255"/>
            <w:r>
              <w:rPr>
                <w:sz w:val="20"/>
              </w:rPr>
              <w:t>BVI</w:t>
            </w:r>
          </w:p>
        </w:tc>
        <w:tc>
          <w:tcPr>
            <w:tcW w:w="60" w:type="dxa"/>
            <w:tcBorders/>
            <w:shd w:fill="CCEEFF" w:val="clear"/>
            <w:vAlign w:val="center"/>
          </w:tcPr>
          <w:p>
            <w:pPr>
              <w:pStyle w:val="TableContents"/>
              <w:bidi w:val="0"/>
              <w:spacing w:before="0" w:after="283"/>
              <w:jc w:val="left"/>
              <w:rPr/>
            </w:pPr>
            <w:r>
              <w:rPr/>
              <w:t> </w:t>
            </w:r>
          </w:p>
        </w:tc>
        <w:tc>
          <w:tcPr>
            <w:tcW w:w="2599" w:type="dxa"/>
            <w:tcBorders/>
            <w:shd w:fill="CCEEFF" w:val="clear"/>
            <w:vAlign w:val="center"/>
          </w:tcPr>
          <w:p>
            <w:pPr>
              <w:pStyle w:val="TableContents"/>
              <w:bidi w:val="0"/>
              <w:spacing w:before="0" w:after="283"/>
              <w:jc w:val="left"/>
              <w:rPr>
                <w:sz w:val="20"/>
              </w:rPr>
            </w:pPr>
            <w:bookmarkStart w:id="256" w:name="xdx_901_eus-gaap--EmployeeStockOwnership"/>
            <w:bookmarkEnd w:id="256"/>
            <w:r>
              <w:rPr>
                <w:sz w:val="20"/>
              </w:rPr>
              <w:t>100% owned by the Zhongjinke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center"/>
              <w:rPr>
                <w:sz w:val="20"/>
              </w:rPr>
            </w:pPr>
            <w:bookmarkStart w:id="257" w:name="xdx_906_ecustom--DateOfIncorporation_c20"/>
            <w:bookmarkEnd w:id="257"/>
            <w:r>
              <w:rPr>
                <w:sz w:val="20"/>
              </w:rPr>
              <w:t>May 24,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2" w:type="dxa"/>
            <w:tcBorders/>
            <w:shd w:fill="CCEEFF" w:val="clear"/>
            <w:vAlign w:val="center"/>
          </w:tcPr>
          <w:p>
            <w:pPr>
              <w:pStyle w:val="TableContents"/>
              <w:bidi w:val="0"/>
              <w:spacing w:before="0" w:after="283"/>
              <w:ind w:left="0" w:right="0" w:hanging="200"/>
              <w:jc w:val="left"/>
              <w:rPr>
                <w:sz w:val="20"/>
              </w:rPr>
            </w:pPr>
            <w:bookmarkStart w:id="258" w:name="xdx_90E_ecustom--PrincipalActivities_c20"/>
            <w:bookmarkEnd w:id="258"/>
            <w:r>
              <w:rPr>
                <w:sz w:val="20"/>
              </w:rPr>
              <w:t>Investment holdings</w:t>
            </w:r>
          </w:p>
        </w:tc>
      </w:tr>
      <w:tr>
        <w:trPr/>
        <w:tc>
          <w:tcPr>
            <w:tcW w:w="2742" w:type="dxa"/>
            <w:tcBorders/>
            <w:shd w:fill="FFFFFF" w:val="clear"/>
            <w:vAlign w:val="center"/>
          </w:tcPr>
          <w:p>
            <w:pPr>
              <w:pStyle w:val="TableContents"/>
              <w:bidi w:val="0"/>
              <w:spacing w:before="0" w:after="283"/>
              <w:jc w:val="left"/>
              <w:rPr>
                <w:sz w:val="20"/>
              </w:rPr>
            </w:pPr>
            <w:bookmarkStart w:id="259" w:name="xdx_905_eus-gaap--BusinessAcquisitionNam"/>
            <w:bookmarkEnd w:id="259"/>
            <w:r>
              <w:rPr>
                <w:sz w:val="20"/>
              </w:rPr>
              <w:t>Zhongjinke HK</w:t>
            </w:r>
          </w:p>
        </w:tc>
        <w:tc>
          <w:tcPr>
            <w:tcW w:w="60"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sz w:val="20"/>
              </w:rPr>
            </w:pPr>
            <w:bookmarkStart w:id="260" w:name="xdx_907_ecustom--BusinessAcquisitionName"/>
            <w:bookmarkEnd w:id="260"/>
            <w:r>
              <w:rPr>
                <w:sz w:val="20"/>
              </w:rPr>
              <w:t>Hong Kong</w:t>
            </w:r>
          </w:p>
        </w:tc>
        <w:tc>
          <w:tcPr>
            <w:tcW w:w="60" w:type="dxa"/>
            <w:tcBorders/>
            <w:shd w:fill="FFFFFF" w:val="clear"/>
            <w:vAlign w:val="center"/>
          </w:tcPr>
          <w:p>
            <w:pPr>
              <w:pStyle w:val="TableContents"/>
              <w:bidi w:val="0"/>
              <w:spacing w:before="0" w:after="283"/>
              <w:jc w:val="left"/>
              <w:rPr/>
            </w:pPr>
            <w:r>
              <w:rPr/>
              <w:t> </w:t>
            </w:r>
          </w:p>
        </w:tc>
        <w:tc>
          <w:tcPr>
            <w:tcW w:w="2599" w:type="dxa"/>
            <w:tcBorders/>
            <w:shd w:fill="FFFFFF" w:val="clear"/>
            <w:vAlign w:val="center"/>
          </w:tcPr>
          <w:p>
            <w:pPr>
              <w:pStyle w:val="TableContents"/>
              <w:bidi w:val="0"/>
              <w:spacing w:before="0" w:after="283"/>
              <w:jc w:val="left"/>
              <w:rPr>
                <w:sz w:val="20"/>
              </w:rPr>
            </w:pPr>
            <w:bookmarkStart w:id="261" w:name="xdx_905_eus-gaap--EmployeeStockOwnership"/>
            <w:bookmarkEnd w:id="261"/>
            <w:r>
              <w:rPr>
                <w:sz w:val="20"/>
              </w:rPr>
              <w:t>100% owned by Zhongjinke BVI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center"/>
              <w:rPr>
                <w:sz w:val="20"/>
              </w:rPr>
            </w:pPr>
            <w:bookmarkStart w:id="262" w:name="xdx_90D_ecustom--DateOfIncorporation_c20"/>
            <w:bookmarkEnd w:id="262"/>
            <w:r>
              <w:rPr>
                <w:sz w:val="20"/>
              </w:rPr>
              <w:t>June 13,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2" w:type="dxa"/>
            <w:tcBorders/>
            <w:shd w:fill="FFFFFF" w:val="clear"/>
            <w:vAlign w:val="center"/>
          </w:tcPr>
          <w:p>
            <w:pPr>
              <w:pStyle w:val="TableContents"/>
              <w:bidi w:val="0"/>
              <w:spacing w:before="0" w:after="283"/>
              <w:ind w:left="0" w:right="0" w:hanging="200"/>
              <w:jc w:val="left"/>
              <w:rPr>
                <w:sz w:val="20"/>
              </w:rPr>
            </w:pPr>
            <w:bookmarkStart w:id="263" w:name="xdx_907_ecustom--PrincipalActivities_c20"/>
            <w:bookmarkEnd w:id="263"/>
            <w:r>
              <w:rPr>
                <w:sz w:val="20"/>
              </w:rPr>
              <w:t>Investment holdings</w:t>
            </w:r>
          </w:p>
        </w:tc>
      </w:tr>
      <w:tr>
        <w:trPr/>
        <w:tc>
          <w:tcPr>
            <w:tcW w:w="2742" w:type="dxa"/>
            <w:tcBorders/>
            <w:shd w:fill="CCEEFF" w:val="clear"/>
            <w:vAlign w:val="center"/>
          </w:tcPr>
          <w:p>
            <w:pPr>
              <w:pStyle w:val="TableContents"/>
              <w:bidi w:val="0"/>
              <w:spacing w:before="0" w:after="283"/>
              <w:jc w:val="left"/>
              <w:rPr>
                <w:sz w:val="20"/>
              </w:rPr>
            </w:pPr>
            <w:bookmarkStart w:id="264" w:name="xdx_90A_eus-gaap--BusinessAcquisitionNam"/>
            <w:bookmarkEnd w:id="264"/>
            <w:r>
              <w:rPr>
                <w:sz w:val="20"/>
              </w:rPr>
              <w:t>Zhongjinke WFOE</w:t>
            </w:r>
          </w:p>
        </w:tc>
        <w:tc>
          <w:tcPr>
            <w:tcW w:w="60"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sz w:val="20"/>
              </w:rPr>
            </w:pPr>
            <w:bookmarkStart w:id="265" w:name="xdx_90D_ecustom--BusinessAcquisitionName"/>
            <w:bookmarkEnd w:id="265"/>
            <w:r>
              <w:rPr>
                <w:sz w:val="20"/>
              </w:rPr>
              <w:t>Shenzhen</w:t>
            </w:r>
          </w:p>
        </w:tc>
        <w:tc>
          <w:tcPr>
            <w:tcW w:w="60" w:type="dxa"/>
            <w:tcBorders/>
            <w:shd w:fill="CCEEFF" w:val="clear"/>
            <w:vAlign w:val="center"/>
          </w:tcPr>
          <w:p>
            <w:pPr>
              <w:pStyle w:val="TableContents"/>
              <w:bidi w:val="0"/>
              <w:spacing w:before="0" w:after="283"/>
              <w:jc w:val="left"/>
              <w:rPr/>
            </w:pPr>
            <w:r>
              <w:rPr/>
              <w:t> </w:t>
            </w:r>
          </w:p>
        </w:tc>
        <w:tc>
          <w:tcPr>
            <w:tcW w:w="2599" w:type="dxa"/>
            <w:tcBorders/>
            <w:shd w:fill="CCEEFF" w:val="clear"/>
            <w:vAlign w:val="center"/>
          </w:tcPr>
          <w:p>
            <w:pPr>
              <w:pStyle w:val="TableContents"/>
              <w:bidi w:val="0"/>
              <w:spacing w:before="0" w:after="283"/>
              <w:jc w:val="left"/>
              <w:rPr>
                <w:sz w:val="20"/>
              </w:rPr>
            </w:pPr>
            <w:bookmarkStart w:id="266" w:name="xdx_904_eus-gaap--EmployeeStockOwnership"/>
            <w:bookmarkEnd w:id="266"/>
            <w:r>
              <w:rPr>
                <w:sz w:val="20"/>
              </w:rPr>
              <w:t>100% owned by Zhongjinke HK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center"/>
              <w:rPr>
                <w:sz w:val="20"/>
              </w:rPr>
            </w:pPr>
            <w:bookmarkStart w:id="267" w:name="xdx_90C_ecustom--DateOfIncorporation_c20"/>
            <w:bookmarkEnd w:id="267"/>
            <w:r>
              <w:rPr>
                <w:sz w:val="20"/>
              </w:rPr>
              <w:t>December 19,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2" w:type="dxa"/>
            <w:tcBorders/>
            <w:shd w:fill="CCEEFF" w:val="clear"/>
            <w:vAlign w:val="center"/>
          </w:tcPr>
          <w:p>
            <w:pPr>
              <w:pStyle w:val="TableContents"/>
              <w:bidi w:val="0"/>
              <w:spacing w:before="0" w:after="283"/>
              <w:ind w:left="0" w:right="0" w:hanging="200"/>
              <w:jc w:val="left"/>
              <w:rPr>
                <w:sz w:val="20"/>
              </w:rPr>
            </w:pPr>
            <w:bookmarkStart w:id="268" w:name="xdx_906_ecustom--PrincipalActivities_c20"/>
            <w:bookmarkEnd w:id="268"/>
            <w:r>
              <w:rPr>
                <w:sz w:val="20"/>
              </w:rPr>
              <w:t>Investment holdings</w:t>
            </w:r>
          </w:p>
        </w:tc>
      </w:tr>
      <w:tr>
        <w:trPr/>
        <w:tc>
          <w:tcPr>
            <w:tcW w:w="2742" w:type="dxa"/>
            <w:tcBorders/>
            <w:shd w:fill="FFFFFF" w:val="clear"/>
            <w:vAlign w:val="center"/>
          </w:tcPr>
          <w:p>
            <w:pPr>
              <w:pStyle w:val="TableContents"/>
              <w:bidi w:val="0"/>
              <w:spacing w:before="0" w:after="283"/>
              <w:jc w:val="left"/>
              <w:rPr>
                <w:sz w:val="20"/>
              </w:rPr>
            </w:pPr>
            <w:bookmarkStart w:id="269" w:name="xdx_904_eus-gaap--BusinessAcquisitionNam"/>
            <w:bookmarkEnd w:id="269"/>
            <w:r>
              <w:rPr>
                <w:sz w:val="20"/>
              </w:rPr>
              <w:t>Galaxy Investment</w:t>
            </w:r>
          </w:p>
        </w:tc>
        <w:tc>
          <w:tcPr>
            <w:tcW w:w="60"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sz w:val="20"/>
              </w:rPr>
            </w:pPr>
            <w:bookmarkStart w:id="270" w:name="xdx_904_ecustom--BusinessAcquisitionName"/>
            <w:bookmarkEnd w:id="270"/>
            <w:r>
              <w:rPr>
                <w:sz w:val="20"/>
              </w:rPr>
              <w:t>BVI</w:t>
            </w:r>
          </w:p>
        </w:tc>
        <w:tc>
          <w:tcPr>
            <w:tcW w:w="60" w:type="dxa"/>
            <w:tcBorders/>
            <w:shd w:fill="FFFFFF" w:val="clear"/>
            <w:vAlign w:val="center"/>
          </w:tcPr>
          <w:p>
            <w:pPr>
              <w:pStyle w:val="TableContents"/>
              <w:bidi w:val="0"/>
              <w:spacing w:before="0" w:after="283"/>
              <w:jc w:val="left"/>
              <w:rPr/>
            </w:pPr>
            <w:r>
              <w:rPr/>
              <w:t> </w:t>
            </w:r>
          </w:p>
        </w:tc>
        <w:tc>
          <w:tcPr>
            <w:tcW w:w="2599" w:type="dxa"/>
            <w:tcBorders/>
            <w:shd w:fill="FFFFFF" w:val="clear"/>
            <w:vAlign w:val="center"/>
          </w:tcPr>
          <w:p>
            <w:pPr>
              <w:pStyle w:val="TableContents"/>
              <w:bidi w:val="0"/>
              <w:spacing w:before="0" w:after="283"/>
              <w:jc w:val="left"/>
              <w:rPr>
                <w:sz w:val="20"/>
              </w:rPr>
            </w:pPr>
            <w:bookmarkStart w:id="271" w:name="xdx_909_eus-gaap--EmployeeStockOwnership"/>
            <w:bookmarkEnd w:id="271"/>
            <w:r>
              <w:rPr>
                <w:sz w:val="20"/>
              </w:rPr>
              <w:t>100% owned by Zhongjinke HK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center"/>
              <w:rPr>
                <w:sz w:val="20"/>
              </w:rPr>
            </w:pPr>
            <w:bookmarkStart w:id="272" w:name="xdx_908_ecustom--DateOfIncorporation_c20"/>
            <w:bookmarkEnd w:id="272"/>
            <w:r>
              <w:rPr>
                <w:sz w:val="20"/>
              </w:rPr>
              <w:t>March 16,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2" w:type="dxa"/>
            <w:tcBorders/>
            <w:shd w:fill="FFFFFF" w:val="clear"/>
            <w:vAlign w:val="center"/>
          </w:tcPr>
          <w:p>
            <w:pPr>
              <w:pStyle w:val="TableContents"/>
              <w:bidi w:val="0"/>
              <w:spacing w:before="0" w:after="283"/>
              <w:ind w:left="0" w:right="0" w:hanging="200"/>
              <w:jc w:val="left"/>
              <w:rPr>
                <w:sz w:val="20"/>
              </w:rPr>
            </w:pPr>
            <w:bookmarkStart w:id="273" w:name="xdx_908_ecustom--PrincipalActivities_c20"/>
            <w:bookmarkEnd w:id="273"/>
            <w:r>
              <w:rPr>
                <w:sz w:val="20"/>
              </w:rPr>
              <w:t>Investment holdings</w:t>
            </w:r>
          </w:p>
        </w:tc>
      </w:tr>
      <w:tr>
        <w:trPr/>
        <w:tc>
          <w:tcPr>
            <w:tcW w:w="2742" w:type="dxa"/>
            <w:tcBorders/>
            <w:shd w:fill="CCEEFF" w:val="clear"/>
            <w:vAlign w:val="center"/>
          </w:tcPr>
          <w:p>
            <w:pPr>
              <w:pStyle w:val="TableContents"/>
              <w:bidi w:val="0"/>
              <w:spacing w:before="0" w:after="283"/>
              <w:jc w:val="left"/>
              <w:rPr>
                <w:sz w:val="20"/>
              </w:rPr>
            </w:pPr>
            <w:bookmarkStart w:id="274" w:name="xdx_905_eus-gaap--BusinessAcquisitionNam"/>
            <w:bookmarkEnd w:id="274"/>
            <w:r>
              <w:rPr>
                <w:sz w:val="20"/>
              </w:rPr>
              <w:t>Zhongjinke Shenzhen</w:t>
            </w:r>
          </w:p>
        </w:tc>
        <w:tc>
          <w:tcPr>
            <w:tcW w:w="60"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sz w:val="20"/>
              </w:rPr>
            </w:pPr>
            <w:bookmarkStart w:id="275" w:name="xdx_90B_ecustom--BusinessAcquisitionName"/>
            <w:bookmarkEnd w:id="275"/>
            <w:r>
              <w:rPr>
                <w:sz w:val="20"/>
              </w:rPr>
              <w:t>Shenzhen</w:t>
            </w:r>
          </w:p>
        </w:tc>
        <w:tc>
          <w:tcPr>
            <w:tcW w:w="60" w:type="dxa"/>
            <w:tcBorders/>
            <w:shd w:fill="CCEEFF" w:val="clear"/>
            <w:vAlign w:val="center"/>
          </w:tcPr>
          <w:p>
            <w:pPr>
              <w:pStyle w:val="TableContents"/>
              <w:bidi w:val="0"/>
              <w:spacing w:before="0" w:after="283"/>
              <w:jc w:val="left"/>
              <w:rPr/>
            </w:pPr>
            <w:r>
              <w:rPr/>
              <w:t> </w:t>
            </w:r>
          </w:p>
        </w:tc>
        <w:tc>
          <w:tcPr>
            <w:tcW w:w="2599" w:type="dxa"/>
            <w:tcBorders/>
            <w:shd w:fill="CCEEFF" w:val="clear"/>
            <w:vAlign w:val="center"/>
          </w:tcPr>
          <w:p>
            <w:pPr>
              <w:pStyle w:val="TableContents"/>
              <w:bidi w:val="0"/>
              <w:spacing w:before="0" w:after="283"/>
              <w:jc w:val="left"/>
              <w:rPr>
                <w:sz w:val="20"/>
              </w:rPr>
            </w:pPr>
            <w:bookmarkStart w:id="276" w:name="xdx_903_eus-gaap--EmployeeStockOwnership"/>
            <w:bookmarkEnd w:id="276"/>
            <w:r>
              <w:rPr>
                <w:sz w:val="20"/>
              </w:rPr>
              <w:t>99.225% owned by Zhongjinke WFOE and 0.775% owned by Galaxy Investment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center"/>
              <w:rPr>
                <w:sz w:val="20"/>
              </w:rPr>
            </w:pPr>
            <w:bookmarkStart w:id="277" w:name="xdx_909_ecustom--DateOfIncorporation_c20"/>
            <w:bookmarkEnd w:id="277"/>
            <w:r>
              <w:rPr>
                <w:sz w:val="20"/>
              </w:rPr>
              <w:t>July 18, 2011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2" w:type="dxa"/>
            <w:tcBorders/>
            <w:shd w:fill="CCEEFF" w:val="clear"/>
            <w:vAlign w:val="center"/>
          </w:tcPr>
          <w:p>
            <w:pPr>
              <w:pStyle w:val="TableContents"/>
              <w:bidi w:val="0"/>
              <w:spacing w:before="0" w:after="283"/>
              <w:ind w:left="0" w:right="0" w:hanging="200"/>
              <w:jc w:val="left"/>
              <w:rPr>
                <w:sz w:val="20"/>
              </w:rPr>
            </w:pPr>
            <w:bookmarkStart w:id="278" w:name="xdx_908_ecustom--PrincipalActivities_c20"/>
            <w:bookmarkEnd w:id="278"/>
            <w:r>
              <w:rPr>
                <w:sz w:val="20"/>
              </w:rPr>
              <w:t>Manufacturing and selling hardware products</w:t>
            </w:r>
          </w:p>
        </w:tc>
      </w:tr>
      <w:tr>
        <w:trPr/>
        <w:tc>
          <w:tcPr>
            <w:tcW w:w="2742" w:type="dxa"/>
            <w:tcBorders/>
            <w:shd w:fill="FFFFFF" w:val="clear"/>
            <w:vAlign w:val="center"/>
          </w:tcPr>
          <w:p>
            <w:pPr>
              <w:pStyle w:val="TableContents"/>
              <w:bidi w:val="0"/>
              <w:spacing w:before="0" w:after="283"/>
              <w:jc w:val="left"/>
              <w:rPr>
                <w:sz w:val="20"/>
              </w:rPr>
            </w:pPr>
            <w:bookmarkStart w:id="279" w:name="xdx_904_eus-gaap--BusinessAcquisitionNam"/>
            <w:bookmarkEnd w:id="279"/>
            <w:r>
              <w:rPr>
                <w:sz w:val="20"/>
              </w:rPr>
              <w:t>Zhongke Precision Components (Guangdong) Co., Ltd. (“Zhongke Components”)</w:t>
            </w:r>
          </w:p>
        </w:tc>
        <w:tc>
          <w:tcPr>
            <w:tcW w:w="60"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sz w:val="20"/>
              </w:rPr>
            </w:pPr>
            <w:bookmarkStart w:id="280" w:name="xdx_907_ecustom--BusinessAcquisitionName"/>
            <w:bookmarkEnd w:id="280"/>
            <w:r>
              <w:rPr>
                <w:sz w:val="20"/>
              </w:rPr>
              <w:t>Qingyuan</w:t>
            </w:r>
          </w:p>
        </w:tc>
        <w:tc>
          <w:tcPr>
            <w:tcW w:w="60" w:type="dxa"/>
            <w:tcBorders/>
            <w:shd w:fill="FFFFFF" w:val="clear"/>
            <w:vAlign w:val="center"/>
          </w:tcPr>
          <w:p>
            <w:pPr>
              <w:pStyle w:val="TableContents"/>
              <w:bidi w:val="0"/>
              <w:spacing w:before="0" w:after="283"/>
              <w:jc w:val="left"/>
              <w:rPr/>
            </w:pPr>
            <w:r>
              <w:rPr/>
              <w:t> </w:t>
            </w:r>
          </w:p>
        </w:tc>
        <w:tc>
          <w:tcPr>
            <w:tcW w:w="2599" w:type="dxa"/>
            <w:tcBorders/>
            <w:shd w:fill="FFFFFF" w:val="clear"/>
            <w:vAlign w:val="center"/>
          </w:tcPr>
          <w:p>
            <w:pPr>
              <w:pStyle w:val="TableContents"/>
              <w:bidi w:val="0"/>
              <w:spacing w:before="0" w:after="283"/>
              <w:jc w:val="left"/>
              <w:rPr>
                <w:sz w:val="20"/>
              </w:rPr>
            </w:pPr>
            <w:bookmarkStart w:id="281" w:name="xdx_907_eus-gaap--EmployeeStockOwnership"/>
            <w:bookmarkEnd w:id="281"/>
            <w:r>
              <w:rPr>
                <w:sz w:val="20"/>
              </w:rPr>
              <w:t>100% owned by Zhongjinke Shenzhen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center"/>
              <w:rPr>
                <w:sz w:val="20"/>
              </w:rPr>
            </w:pPr>
            <w:bookmarkStart w:id="282" w:name="xdx_909_ecustom--DateOfIncorporation_c20"/>
            <w:bookmarkEnd w:id="282"/>
            <w:r>
              <w:rPr>
                <w:sz w:val="20"/>
              </w:rPr>
              <w:t>April 16,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2" w:type="dxa"/>
            <w:tcBorders/>
            <w:shd w:fill="FFFFFF" w:val="clear"/>
            <w:vAlign w:val="center"/>
          </w:tcPr>
          <w:p>
            <w:pPr>
              <w:pStyle w:val="TableContents"/>
              <w:bidi w:val="0"/>
              <w:spacing w:before="0" w:after="283"/>
              <w:ind w:left="0" w:right="0" w:hanging="200"/>
              <w:jc w:val="left"/>
              <w:rPr>
                <w:sz w:val="20"/>
              </w:rPr>
            </w:pPr>
            <w:bookmarkStart w:id="283" w:name="xdx_900_ecustom--PrincipalActivities_c20"/>
            <w:bookmarkEnd w:id="283"/>
            <w:r>
              <w:rPr>
                <w:sz w:val="20"/>
              </w:rPr>
              <w:t>Manufacturing and selling hardware products</w:t>
            </w:r>
          </w:p>
        </w:tc>
      </w:tr>
      <w:tr>
        <w:trPr/>
        <w:tc>
          <w:tcPr>
            <w:tcW w:w="2742" w:type="dxa"/>
            <w:tcBorders/>
            <w:shd w:fill="CCEEFF" w:val="clear"/>
            <w:vAlign w:val="center"/>
          </w:tcPr>
          <w:p>
            <w:pPr>
              <w:pStyle w:val="TableContents"/>
              <w:bidi w:val="0"/>
              <w:spacing w:before="0" w:after="283"/>
              <w:jc w:val="left"/>
              <w:rPr>
                <w:sz w:val="20"/>
              </w:rPr>
            </w:pPr>
            <w:bookmarkStart w:id="284" w:name="xdx_909_eus-gaap--BusinessAcquisitionNam"/>
            <w:bookmarkEnd w:id="284"/>
            <w:r>
              <w:rPr>
                <w:sz w:val="20"/>
              </w:rPr>
              <w:t>Nanjing Zhongjinke Hardware Products Co., Ltd (“Zhongjinke Nanjing”)</w:t>
            </w:r>
          </w:p>
        </w:tc>
        <w:tc>
          <w:tcPr>
            <w:tcW w:w="60"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sz w:val="20"/>
              </w:rPr>
            </w:pPr>
            <w:bookmarkStart w:id="285" w:name="xdx_90B_ecustom--BusinessAcquisitionName"/>
            <w:bookmarkEnd w:id="285"/>
            <w:r>
              <w:rPr>
                <w:sz w:val="20"/>
              </w:rPr>
              <w:t>Nanjing</w:t>
            </w:r>
          </w:p>
        </w:tc>
        <w:tc>
          <w:tcPr>
            <w:tcW w:w="60" w:type="dxa"/>
            <w:tcBorders/>
            <w:shd w:fill="CCEEFF" w:val="clear"/>
            <w:vAlign w:val="center"/>
          </w:tcPr>
          <w:p>
            <w:pPr>
              <w:pStyle w:val="TableContents"/>
              <w:bidi w:val="0"/>
              <w:spacing w:before="0" w:after="283"/>
              <w:jc w:val="left"/>
              <w:rPr/>
            </w:pPr>
            <w:r>
              <w:rPr/>
              <w:t> </w:t>
            </w:r>
          </w:p>
        </w:tc>
        <w:tc>
          <w:tcPr>
            <w:tcW w:w="2599" w:type="dxa"/>
            <w:tcBorders/>
            <w:shd w:fill="CCEEFF" w:val="clear"/>
            <w:vAlign w:val="center"/>
          </w:tcPr>
          <w:p>
            <w:pPr>
              <w:pStyle w:val="TableContents"/>
              <w:bidi w:val="0"/>
              <w:spacing w:before="0" w:after="283"/>
              <w:jc w:val="left"/>
              <w:rPr>
                <w:sz w:val="20"/>
              </w:rPr>
            </w:pPr>
            <w:bookmarkStart w:id="286" w:name="xdx_903_eus-gaap--EmployeeStockOwnership"/>
            <w:bookmarkEnd w:id="286"/>
            <w:r>
              <w:rPr>
                <w:sz w:val="20"/>
              </w:rPr>
              <w:t>51% by Zhongjinke Shenzhen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center"/>
              <w:rPr>
                <w:sz w:val="20"/>
              </w:rPr>
            </w:pPr>
            <w:bookmarkStart w:id="287" w:name="xdx_90B_ecustom--DateOfIncorporation_c20"/>
            <w:bookmarkEnd w:id="287"/>
            <w:r>
              <w:rPr>
                <w:sz w:val="20"/>
              </w:rPr>
              <w:t>May 3, 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2" w:type="dxa"/>
            <w:tcBorders/>
            <w:shd w:fill="CCEEFF" w:val="clear"/>
            <w:vAlign w:val="center"/>
          </w:tcPr>
          <w:p>
            <w:pPr>
              <w:pStyle w:val="TableContents"/>
              <w:bidi w:val="0"/>
              <w:spacing w:before="0" w:after="283"/>
              <w:ind w:left="0" w:right="0" w:hanging="200"/>
              <w:jc w:val="left"/>
              <w:rPr>
                <w:sz w:val="20"/>
              </w:rPr>
            </w:pPr>
            <w:bookmarkStart w:id="288" w:name="xdx_90F_ecustom--PrincipalActivities_c20"/>
            <w:bookmarkEnd w:id="288"/>
            <w:r>
              <w:rPr>
                <w:sz w:val="20"/>
              </w:rPr>
              <w:t>Selling hardware products</w:t>
            </w:r>
          </w:p>
        </w:tc>
      </w:tr>
      <w:tr>
        <w:trPr/>
        <w:tc>
          <w:tcPr>
            <w:tcW w:w="2742" w:type="dxa"/>
            <w:tcBorders/>
            <w:shd w:fill="FFFFFF" w:val="clear"/>
            <w:vAlign w:val="center"/>
          </w:tcPr>
          <w:p>
            <w:pPr>
              <w:pStyle w:val="TableContents"/>
              <w:bidi w:val="0"/>
              <w:spacing w:before="0" w:after="283"/>
              <w:jc w:val="left"/>
              <w:rPr>
                <w:sz w:val="20"/>
              </w:rPr>
            </w:pPr>
            <w:bookmarkStart w:id="289" w:name="xdx_900_eus-gaap--BusinessAcquisitionNam"/>
            <w:bookmarkEnd w:id="289"/>
            <w:r>
              <w:rPr>
                <w:sz w:val="20"/>
              </w:rPr>
              <w:t>ZIK Precision HK Limited (“ZJK Precision HK”)</w:t>
            </w:r>
          </w:p>
        </w:tc>
        <w:tc>
          <w:tcPr>
            <w:tcW w:w="60"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sz w:val="20"/>
              </w:rPr>
            </w:pPr>
            <w:bookmarkStart w:id="290" w:name="xdx_90F_ecustom--BusinessAcquisitionName"/>
            <w:bookmarkEnd w:id="290"/>
            <w:r>
              <w:rPr>
                <w:sz w:val="20"/>
              </w:rPr>
              <w:t>Hong Kong</w:t>
            </w:r>
          </w:p>
        </w:tc>
        <w:tc>
          <w:tcPr>
            <w:tcW w:w="60" w:type="dxa"/>
            <w:tcBorders/>
            <w:shd w:fill="FFFFFF" w:val="clear"/>
            <w:vAlign w:val="center"/>
          </w:tcPr>
          <w:p>
            <w:pPr>
              <w:pStyle w:val="TableContents"/>
              <w:bidi w:val="0"/>
              <w:spacing w:before="0" w:after="283"/>
              <w:jc w:val="left"/>
              <w:rPr/>
            </w:pPr>
            <w:r>
              <w:rPr/>
              <w:t> </w:t>
            </w:r>
          </w:p>
        </w:tc>
        <w:tc>
          <w:tcPr>
            <w:tcW w:w="2599" w:type="dxa"/>
            <w:tcBorders/>
            <w:shd w:fill="FFFFFF" w:val="clear"/>
            <w:vAlign w:val="center"/>
          </w:tcPr>
          <w:p>
            <w:pPr>
              <w:pStyle w:val="TableContents"/>
              <w:bidi w:val="0"/>
              <w:spacing w:before="0" w:after="283"/>
              <w:jc w:val="left"/>
              <w:rPr>
                <w:sz w:val="20"/>
              </w:rPr>
            </w:pPr>
            <w:bookmarkStart w:id="291" w:name="xdx_903_eus-gaap--EmployeeStockOwnership"/>
            <w:bookmarkEnd w:id="291"/>
            <w:r>
              <w:rPr>
                <w:sz w:val="20"/>
              </w:rPr>
              <w:t>100% owned by Zhongjinke Shenzhen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center"/>
              <w:rPr>
                <w:sz w:val="20"/>
              </w:rPr>
            </w:pPr>
            <w:bookmarkStart w:id="292" w:name="xdx_90B_ecustom--DateOfIncorporation_c20"/>
            <w:bookmarkEnd w:id="292"/>
            <w:r>
              <w:rPr>
                <w:sz w:val="20"/>
              </w:rPr>
              <w:t>July 27,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2" w:type="dxa"/>
            <w:tcBorders/>
            <w:shd w:fill="FFFFFF" w:val="clear"/>
            <w:vAlign w:val="center"/>
          </w:tcPr>
          <w:p>
            <w:pPr>
              <w:pStyle w:val="TableContents"/>
              <w:bidi w:val="0"/>
              <w:spacing w:before="0" w:after="283"/>
              <w:ind w:left="0" w:right="0" w:hanging="200"/>
              <w:jc w:val="left"/>
              <w:rPr>
                <w:sz w:val="20"/>
              </w:rPr>
            </w:pPr>
            <w:bookmarkStart w:id="293" w:name="xdx_90A_ecustom--PrincipalActivities_c20"/>
            <w:bookmarkEnd w:id="293"/>
            <w:r>
              <w:rPr>
                <w:sz w:val="20"/>
              </w:rPr>
              <w:t>Manufacturing and selling hardware products</w:t>
            </w:r>
          </w:p>
        </w:tc>
      </w:tr>
      <w:tr>
        <w:trPr/>
        <w:tc>
          <w:tcPr>
            <w:tcW w:w="2742" w:type="dxa"/>
            <w:tcBorders/>
            <w:shd w:fill="CCEEFF" w:val="clear"/>
            <w:vAlign w:val="center"/>
          </w:tcPr>
          <w:p>
            <w:pPr>
              <w:pStyle w:val="TableContents"/>
              <w:bidi w:val="0"/>
              <w:spacing w:before="0" w:after="283"/>
              <w:jc w:val="left"/>
              <w:rPr>
                <w:sz w:val="20"/>
              </w:rPr>
            </w:pPr>
            <w:bookmarkStart w:id="294" w:name="xdx_90D_eus-gaap--BusinessAcquisitionNam"/>
            <w:bookmarkEnd w:id="294"/>
            <w:r>
              <w:rPr>
                <w:sz w:val="20"/>
              </w:rPr>
              <w:t>ZJK Vietnam Precision Components Company Limited (“ZJK Precision Vietnam”)</w:t>
            </w:r>
          </w:p>
        </w:tc>
        <w:tc>
          <w:tcPr>
            <w:tcW w:w="60"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sz w:val="20"/>
              </w:rPr>
            </w:pPr>
            <w:bookmarkStart w:id="295" w:name="xdx_902_ecustom--BusinessAcquisitionName"/>
            <w:bookmarkEnd w:id="295"/>
            <w:r>
              <w:rPr>
                <w:sz w:val="20"/>
              </w:rPr>
              <w:t>Vietnam</w:t>
            </w:r>
          </w:p>
        </w:tc>
        <w:tc>
          <w:tcPr>
            <w:tcW w:w="60" w:type="dxa"/>
            <w:tcBorders/>
            <w:shd w:fill="CCEEFF" w:val="clear"/>
            <w:vAlign w:val="center"/>
          </w:tcPr>
          <w:p>
            <w:pPr>
              <w:pStyle w:val="TableContents"/>
              <w:bidi w:val="0"/>
              <w:spacing w:before="0" w:after="283"/>
              <w:jc w:val="left"/>
              <w:rPr/>
            </w:pPr>
            <w:r>
              <w:rPr/>
              <w:t> </w:t>
            </w:r>
          </w:p>
        </w:tc>
        <w:tc>
          <w:tcPr>
            <w:tcW w:w="2599" w:type="dxa"/>
            <w:tcBorders/>
            <w:shd w:fill="CCEEFF" w:val="clear"/>
            <w:vAlign w:val="center"/>
          </w:tcPr>
          <w:p>
            <w:pPr>
              <w:pStyle w:val="TableContents"/>
              <w:bidi w:val="0"/>
              <w:spacing w:before="0" w:after="283"/>
              <w:jc w:val="left"/>
              <w:rPr>
                <w:sz w:val="20"/>
              </w:rPr>
            </w:pPr>
            <w:bookmarkStart w:id="296" w:name="xdx_906_eus-gaap--EmployeeStockOwnership"/>
            <w:bookmarkEnd w:id="296"/>
            <w:r>
              <w:rPr>
                <w:sz w:val="20"/>
              </w:rPr>
              <w:t>93% owned by ZJK Precision HK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center"/>
              <w:rPr>
                <w:sz w:val="20"/>
              </w:rPr>
            </w:pPr>
            <w:bookmarkStart w:id="297" w:name="xdx_908_ecustom--DateOfIncorporation_c20"/>
            <w:bookmarkEnd w:id="297"/>
            <w:r>
              <w:rPr>
                <w:sz w:val="20"/>
              </w:rPr>
              <w:t>April 26,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2" w:type="dxa"/>
            <w:tcBorders/>
            <w:shd w:fill="CCEEFF" w:val="clear"/>
            <w:vAlign w:val="center"/>
          </w:tcPr>
          <w:p>
            <w:pPr>
              <w:pStyle w:val="TableContents"/>
              <w:bidi w:val="0"/>
              <w:spacing w:before="0" w:after="283"/>
              <w:ind w:left="0" w:right="0" w:hanging="200"/>
              <w:jc w:val="left"/>
              <w:rPr>
                <w:sz w:val="20"/>
              </w:rPr>
            </w:pPr>
            <w:bookmarkStart w:id="298" w:name="xdx_900_ecustom--PrincipalActivities_c20"/>
            <w:bookmarkEnd w:id="298"/>
            <w:r>
              <w:rPr>
                <w:sz w:val="20"/>
              </w:rPr>
              <w:t>Manufacturing and selling hardware products</w:t>
            </w:r>
          </w:p>
        </w:tc>
      </w:tr>
      <w:tr>
        <w:trPr/>
        <w:tc>
          <w:tcPr>
            <w:tcW w:w="2742" w:type="dxa"/>
            <w:tcBorders/>
            <w:shd w:fill="FFFFFF" w:val="clear"/>
            <w:vAlign w:val="center"/>
          </w:tcPr>
          <w:p>
            <w:pPr>
              <w:pStyle w:val="TableContents"/>
              <w:bidi w:val="0"/>
              <w:spacing w:before="0" w:after="283"/>
              <w:jc w:val="left"/>
              <w:rPr>
                <w:sz w:val="20"/>
              </w:rPr>
            </w:pPr>
            <w:bookmarkStart w:id="299" w:name="xdx_907_eus-gaap--BusinessAcquisitionNam"/>
            <w:bookmarkEnd w:id="299"/>
            <w:r>
              <w:rPr>
                <w:sz w:val="20"/>
              </w:rPr>
              <w:t>Shenzhen Zhongte Fluid Technology Co., Ltd.</w:t>
            </w:r>
          </w:p>
        </w:tc>
        <w:tc>
          <w:tcPr>
            <w:tcW w:w="60"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sz w:val="20"/>
              </w:rPr>
            </w:pPr>
            <w:bookmarkStart w:id="300" w:name="xdx_907_ecustom--BusinessAcquisitionName"/>
            <w:bookmarkEnd w:id="300"/>
            <w:r>
              <w:rPr>
                <w:sz w:val="20"/>
              </w:rPr>
              <w:t>Shenzhen</w:t>
            </w:r>
          </w:p>
        </w:tc>
        <w:tc>
          <w:tcPr>
            <w:tcW w:w="60" w:type="dxa"/>
            <w:tcBorders/>
            <w:shd w:fill="FFFFFF" w:val="clear"/>
            <w:vAlign w:val="center"/>
          </w:tcPr>
          <w:p>
            <w:pPr>
              <w:pStyle w:val="TableContents"/>
              <w:bidi w:val="0"/>
              <w:spacing w:before="0" w:after="283"/>
              <w:jc w:val="left"/>
              <w:rPr/>
            </w:pPr>
            <w:r>
              <w:rPr/>
              <w:t> </w:t>
            </w:r>
          </w:p>
        </w:tc>
        <w:tc>
          <w:tcPr>
            <w:tcW w:w="2599" w:type="dxa"/>
            <w:tcBorders/>
            <w:shd w:fill="FFFFFF" w:val="clear"/>
            <w:vAlign w:val="center"/>
          </w:tcPr>
          <w:p>
            <w:pPr>
              <w:pStyle w:val="TableContents"/>
              <w:bidi w:val="0"/>
              <w:spacing w:before="0" w:after="283"/>
              <w:jc w:val="left"/>
              <w:rPr>
                <w:sz w:val="20"/>
              </w:rPr>
            </w:pPr>
            <w:bookmarkStart w:id="301" w:name="xdx_90B_eus-gaap--EmployeeStockOwnership"/>
            <w:bookmarkEnd w:id="301"/>
            <w:r>
              <w:rPr>
                <w:sz w:val="20"/>
              </w:rPr>
              <w:t>60% by Zhongjinke Shenzhen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center"/>
              <w:rPr>
                <w:sz w:val="20"/>
              </w:rPr>
            </w:pPr>
            <w:bookmarkStart w:id="302" w:name="xdx_90D_ecustom--DateOfIncorporation_c20"/>
            <w:bookmarkEnd w:id="302"/>
            <w:r>
              <w:rPr>
                <w:sz w:val="20"/>
              </w:rPr>
              <w:t>May 22,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2" w:type="dxa"/>
            <w:tcBorders/>
            <w:shd w:fill="FFFFFF" w:val="clear"/>
            <w:vAlign w:val="center"/>
          </w:tcPr>
          <w:p>
            <w:pPr>
              <w:pStyle w:val="TableContents"/>
              <w:bidi w:val="0"/>
              <w:spacing w:before="0" w:after="283"/>
              <w:ind w:left="0" w:right="0" w:hanging="200"/>
              <w:jc w:val="left"/>
              <w:rPr>
                <w:sz w:val="20"/>
              </w:rPr>
            </w:pPr>
            <w:bookmarkStart w:id="303" w:name="xdx_90D_ecustom--PrincipalActivities_c20"/>
            <w:bookmarkEnd w:id="303"/>
            <w:r>
              <w:rPr>
                <w:sz w:val="20"/>
              </w:rPr>
              <w:t>Manufacturing and selling hardware products</w:t>
            </w:r>
          </w:p>
        </w:tc>
      </w:tr>
      <w:tr>
        <w:trPr/>
        <w:tc>
          <w:tcPr>
            <w:tcW w:w="2742" w:type="dxa"/>
            <w:tcBorders/>
            <w:shd w:fill="CCEEFF" w:val="clear"/>
            <w:vAlign w:val="center"/>
          </w:tcPr>
          <w:p>
            <w:pPr>
              <w:pStyle w:val="TableContents"/>
              <w:bidi w:val="0"/>
              <w:spacing w:before="0" w:after="283"/>
              <w:jc w:val="left"/>
              <w:rPr>
                <w:sz w:val="20"/>
              </w:rPr>
            </w:pPr>
            <w:bookmarkStart w:id="304" w:name="xdx_907_eus-gaap--BusinessAcquisitionNam"/>
            <w:bookmarkEnd w:id="304"/>
            <w:r>
              <w:rPr>
                <w:sz w:val="20"/>
              </w:rPr>
              <w:t>Intel Precision Components (Longyan) Co., Ltd. (“Intel Longyan”)</w:t>
            </w:r>
          </w:p>
        </w:tc>
        <w:tc>
          <w:tcPr>
            <w:tcW w:w="60"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sz w:val="20"/>
              </w:rPr>
            </w:pPr>
            <w:bookmarkStart w:id="305" w:name="xdx_905_ecustom--BusinessAcquisitionName"/>
            <w:bookmarkEnd w:id="305"/>
            <w:r>
              <w:rPr>
                <w:sz w:val="20"/>
              </w:rPr>
              <w:t>Longyan</w:t>
            </w:r>
          </w:p>
        </w:tc>
        <w:tc>
          <w:tcPr>
            <w:tcW w:w="60" w:type="dxa"/>
            <w:tcBorders/>
            <w:shd w:fill="CCEEFF" w:val="clear"/>
            <w:vAlign w:val="center"/>
          </w:tcPr>
          <w:p>
            <w:pPr>
              <w:pStyle w:val="TableContents"/>
              <w:bidi w:val="0"/>
              <w:spacing w:before="0" w:after="283"/>
              <w:jc w:val="left"/>
              <w:rPr/>
            </w:pPr>
            <w:r>
              <w:rPr/>
              <w:t> </w:t>
            </w:r>
          </w:p>
        </w:tc>
        <w:tc>
          <w:tcPr>
            <w:tcW w:w="2599" w:type="dxa"/>
            <w:tcBorders/>
            <w:shd w:fill="CCEEFF" w:val="clear"/>
            <w:vAlign w:val="center"/>
          </w:tcPr>
          <w:p>
            <w:pPr>
              <w:pStyle w:val="TableContents"/>
              <w:bidi w:val="0"/>
              <w:spacing w:before="0" w:after="283"/>
              <w:jc w:val="left"/>
              <w:rPr>
                <w:sz w:val="20"/>
              </w:rPr>
            </w:pPr>
            <w:bookmarkStart w:id="306" w:name="xdx_907_eus-gaap--EmployeeStockOwnership"/>
            <w:bookmarkEnd w:id="306"/>
            <w:r>
              <w:rPr>
                <w:sz w:val="20"/>
              </w:rPr>
              <w:t>100% owned by Zhongjinke Shenzhen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center"/>
              <w:rPr>
                <w:sz w:val="20"/>
              </w:rPr>
            </w:pPr>
            <w:bookmarkStart w:id="307" w:name="xdx_905_ecustom--DateOfIncorporation_c20"/>
            <w:bookmarkEnd w:id="307"/>
            <w:r>
              <w:rPr>
                <w:sz w:val="20"/>
              </w:rPr>
              <w:t>July 2,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2" w:type="dxa"/>
            <w:tcBorders/>
            <w:shd w:fill="CCEEFF" w:val="clear"/>
            <w:vAlign w:val="center"/>
          </w:tcPr>
          <w:p>
            <w:pPr>
              <w:pStyle w:val="TableContents"/>
              <w:bidi w:val="0"/>
              <w:spacing w:before="0" w:after="283"/>
              <w:ind w:left="0" w:right="0" w:hanging="200"/>
              <w:jc w:val="left"/>
              <w:rPr>
                <w:sz w:val="20"/>
              </w:rPr>
            </w:pPr>
            <w:bookmarkStart w:id="308" w:name="xdx_90C_ecustom--PrincipalActivities_c20"/>
            <w:bookmarkEnd w:id="308"/>
            <w:r>
              <w:rPr>
                <w:sz w:val="20"/>
              </w:rPr>
              <w:t>Manufacturing and selling hardware products</w:t>
            </w:r>
          </w:p>
        </w:tc>
      </w:tr>
      <w:tr>
        <w:trPr/>
        <w:tc>
          <w:tcPr>
            <w:tcW w:w="2742" w:type="dxa"/>
            <w:tcBorders/>
            <w:shd w:fill="FFFFFF" w:val="clear"/>
            <w:vAlign w:val="center"/>
          </w:tcPr>
          <w:p>
            <w:pPr>
              <w:pStyle w:val="TableContents"/>
              <w:bidi w:val="0"/>
              <w:spacing w:before="0" w:after="283"/>
              <w:jc w:val="left"/>
              <w:rPr>
                <w:sz w:val="20"/>
              </w:rPr>
            </w:pPr>
            <w:bookmarkStart w:id="309" w:name="xdx_902_eus-gaap--BusinessAcquisitionNam"/>
            <w:bookmarkEnd w:id="309"/>
            <w:r>
              <w:rPr>
                <w:sz w:val="20"/>
              </w:rPr>
              <w:t>Zhongjinke Precision Parts (Sichuan) Co., Ltd. (“Zhongjinke Sichuan”)</w:t>
            </w:r>
          </w:p>
        </w:tc>
        <w:tc>
          <w:tcPr>
            <w:tcW w:w="60"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sz w:val="20"/>
              </w:rPr>
            </w:pPr>
            <w:bookmarkStart w:id="310" w:name="xdx_900_ecustom--BusinessAcquisitionName"/>
            <w:bookmarkEnd w:id="310"/>
            <w:r>
              <w:rPr>
                <w:sz w:val="20"/>
              </w:rPr>
              <w:t>Meishan</w:t>
            </w:r>
          </w:p>
        </w:tc>
        <w:tc>
          <w:tcPr>
            <w:tcW w:w="60" w:type="dxa"/>
            <w:tcBorders/>
            <w:shd w:fill="FFFFFF" w:val="clear"/>
            <w:vAlign w:val="center"/>
          </w:tcPr>
          <w:p>
            <w:pPr>
              <w:pStyle w:val="TableContents"/>
              <w:bidi w:val="0"/>
              <w:spacing w:before="0" w:after="283"/>
              <w:jc w:val="left"/>
              <w:rPr/>
            </w:pPr>
            <w:r>
              <w:rPr/>
              <w:t> </w:t>
            </w:r>
          </w:p>
        </w:tc>
        <w:tc>
          <w:tcPr>
            <w:tcW w:w="2599" w:type="dxa"/>
            <w:tcBorders/>
            <w:shd w:fill="FFFFFF" w:val="clear"/>
            <w:vAlign w:val="center"/>
          </w:tcPr>
          <w:p>
            <w:pPr>
              <w:pStyle w:val="TableContents"/>
              <w:bidi w:val="0"/>
              <w:spacing w:before="0" w:after="283"/>
              <w:jc w:val="left"/>
              <w:rPr>
                <w:sz w:val="20"/>
              </w:rPr>
            </w:pPr>
            <w:bookmarkStart w:id="311" w:name="xdx_902_eus-gaap--EmployeeStockOwnership"/>
            <w:bookmarkEnd w:id="311"/>
            <w:r>
              <w:rPr>
                <w:sz w:val="20"/>
              </w:rPr>
              <w:t>100% owned by Zhongjinke Shenzhen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center"/>
              <w:rPr>
                <w:sz w:val="20"/>
              </w:rPr>
            </w:pPr>
            <w:bookmarkStart w:id="312" w:name="xdx_903_ecustom--DateOfIncorporation_c20"/>
            <w:bookmarkEnd w:id="312"/>
            <w:r>
              <w:rPr>
                <w:sz w:val="20"/>
              </w:rPr>
              <w:t>August 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2" w:type="dxa"/>
            <w:tcBorders/>
            <w:shd w:fill="FFFFFF" w:val="clear"/>
            <w:vAlign w:val="center"/>
          </w:tcPr>
          <w:p>
            <w:pPr>
              <w:pStyle w:val="TableContents"/>
              <w:bidi w:val="0"/>
              <w:spacing w:before="0" w:after="283"/>
              <w:jc w:val="left"/>
              <w:rPr>
                <w:sz w:val="20"/>
              </w:rPr>
            </w:pPr>
            <w:bookmarkStart w:id="313" w:name="xdx_907_ecustom--PrincipalActivities_c20"/>
            <w:bookmarkEnd w:id="313"/>
            <w:r>
              <w:rPr>
                <w:sz w:val="20"/>
              </w:rPr>
              <w:t>Manufacturing and selling hardware products</w:t>
            </w:r>
          </w:p>
        </w:tc>
      </w:tr>
    </w:tbl>
    <w:p>
      <w:pPr>
        <w:pStyle w:val="TextBody"/>
        <w:bidi w:val="0"/>
        <w:jc w:val="both"/>
        <w:rPr>
          <w:caps w:val="false"/>
          <w:smallCaps w:val="false"/>
        </w:rPr>
      </w:pPr>
      <w:bookmarkStart w:id="314" w:name="xdx_8AB_zKbVlGowJ1O4"/>
      <w:bookmarkEnd w:id="314"/>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75"/>
        <w:gridCol w:w="245"/>
        <w:gridCol w:w="10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(b)</w:t>
            </w:r>
          </w:p>
        </w:tc>
        <w:tc>
          <w:tcPr>
            <w:tcW w:w="1085" w:type="dxa"/>
            <w:tcBorders/>
            <w:vAlign w:val="center"/>
          </w:tcPr>
          <w:p>
            <w:pPr>
              <w:pStyle w:val="TableContents"/>
              <w:bidi w:val="0"/>
              <w:spacing w:before="0" w:after="283"/>
              <w:jc w:val="left"/>
              <w:rPr>
                <w:b/>
                <w:sz w:val="20"/>
              </w:rPr>
            </w:pPr>
            <w:r>
              <w:rPr>
                <w:b/>
                <w:sz w:val="20"/>
              </w:rPr>
              <w:t>Shares splits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315" w:name="xdx_906_ecustom--ShareCapitalDescription"/>
      <w:bookmarkEnd w:id="315"/>
      <w:r>
        <w:rPr>
          <w:rFonts w:ascii="Times New Roman;Times;Serif" w:hAnsi="Times New Roman;Times;Serif"/>
          <w:b w:val="false"/>
          <w:i w:val="false"/>
          <w:caps w:val="false"/>
          <w:smallCaps w:val="false"/>
          <w:sz w:val="20"/>
        </w:rPr>
        <w:t>On June 19, 2023, the Company subdivided the authorized and issued share capital of the Company on a 1:2 basis such that the authorized share capital of the Company was amended from US$50,000 divided into 500,000,000 Ordinary Shares of a par value of US$0.0001 each, to US$50,000 divided into 1,000,000,000 Ordinary Shares of a par value of US$0.00005 each.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316" w:name="xdx_90E_ecustom--ShareCapitalDescription"/>
      <w:bookmarkEnd w:id="316"/>
      <w:r>
        <w:rPr>
          <w:rFonts w:ascii="Times New Roman;Times;Serif" w:hAnsi="Times New Roman;Times;Serif"/>
          <w:b w:val="false"/>
          <w:i w:val="false"/>
          <w:caps w:val="false"/>
          <w:smallCaps w:val="false"/>
          <w:sz w:val="20"/>
        </w:rPr>
        <w:t>On June 6, 2024, the Company subdivided the authorized and issued share capital of the Company on a 1:3 basis such that the authorized share capital of the Company was amended from US$50,000 divided into 1,000,000,000 Ordinary Shares of a par value of US$0.00005 each, to US$50,000 divided into 3,000,000,000 Ordinary Shares of a par value of US$0.000016666667 each.</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317" w:name="xdx_231_zmpGFDKyGdyl"/>
      <w:bookmarkStart w:id="318" w:name="xdx_232_zJ7eisnBcWi2"/>
      <w:bookmarkEnd w:id="317"/>
      <w:bookmarkEnd w:id="318"/>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30"/>
        <w:gridCol w:w="46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b/>
                <w:sz w:val="20"/>
              </w:rPr>
            </w:pPr>
            <w:r>
              <w:rPr>
                <w:b/>
                <w:sz w:val="20"/>
              </w:rPr>
              <w:t>(c)</w:t>
            </w:r>
          </w:p>
        </w:tc>
        <w:tc>
          <w:tcPr>
            <w:tcW w:w="4685" w:type="dxa"/>
            <w:tcBorders/>
            <w:vAlign w:val="center"/>
          </w:tcPr>
          <w:p>
            <w:pPr>
              <w:pStyle w:val="TableContents"/>
              <w:bidi w:val="0"/>
              <w:spacing w:before="0" w:after="283"/>
              <w:jc w:val="left"/>
              <w:rPr>
                <w:b/>
                <w:sz w:val="20"/>
              </w:rPr>
            </w:pPr>
            <w:r>
              <w:rPr>
                <w:b/>
                <w:sz w:val="20"/>
              </w:rPr>
              <w:t>Reclassification of ordinary shares and share exchange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6, 2026, the shareholders of the Company approved at the 2025 Extraordinary General Meeting, the redesignation of authorized share capital from one class of ordinary shares to two classes of ordinary shares (the “Reclassification”). Upon the Reclassification, all </w:t>
      </w:r>
      <w:bookmarkStart w:id="319" w:name="xdx_901_eus-gaap--CommonStockOtherShares"/>
      <w:bookmarkStart w:id="320" w:name="xdx_90A_eus-gaap--CommonStockSharesIssue"/>
      <w:bookmarkEnd w:id="319"/>
      <w:bookmarkEnd w:id="320"/>
      <w:r>
        <w:rPr>
          <w:rFonts w:ascii="Times New Roman;Times;Serif" w:hAnsi="Times New Roman;Times;Serif"/>
          <w:b w:val="false"/>
          <w:i w:val="false"/>
          <w:caps w:val="false"/>
          <w:smallCaps w:val="false"/>
          <w:sz w:val="20"/>
        </w:rPr>
        <w:t xml:space="preserve">64,322,249 issued and outstanding ordinary shares were re-designated and re-classified as follows: (i) </w:t>
      </w:r>
      <w:bookmarkStart w:id="321" w:name="xdx_90B_ecustom--RedesignatedAndReclassi"/>
      <w:bookmarkEnd w:id="321"/>
      <w:r>
        <w:rPr>
          <w:rFonts w:ascii="Times New Roman;Times;Serif" w:hAnsi="Times New Roman;Times;Serif"/>
          <w:b w:val="false"/>
          <w:i w:val="false"/>
          <w:caps w:val="false"/>
          <w:smallCaps w:val="false"/>
          <w:sz w:val="20"/>
        </w:rPr>
        <w:t xml:space="preserve">9,000,000 shares held by 5 shareholders were re-designated and re-classified as Class B ordinary shares on a one-for-one basis, and (ii) the remaining 55,322,249 issued shares, including the </w:t>
      </w:r>
      <w:bookmarkStart w:id="322" w:name="xdx_902_eus-gaap--SharesIssued_iI_c20260"/>
      <w:bookmarkEnd w:id="322"/>
      <w:r>
        <w:rPr>
          <w:rFonts w:ascii="Times New Roman;Times;Serif" w:hAnsi="Times New Roman;Times;Serif"/>
          <w:b w:val="false"/>
          <w:i w:val="false"/>
          <w:caps w:val="false"/>
          <w:smallCaps w:val="false"/>
          <w:sz w:val="20"/>
        </w:rPr>
        <w:t xml:space="preserve">500,000 shares issued in January 2026 (Note 20), were re-designated and re-classified as Class A ordinary shares. In addition, all </w:t>
      </w:r>
      <w:bookmarkStart w:id="323" w:name="xdx_90D_ecustom--UnissuedOrdinaryShares_"/>
      <w:bookmarkEnd w:id="323"/>
      <w:r>
        <w:rPr>
          <w:rFonts w:ascii="Times New Roman;Times;Serif" w:hAnsi="Times New Roman;Times;Serif"/>
          <w:b w:val="false"/>
          <w:i w:val="false"/>
          <w:caps w:val="false"/>
          <w:smallCaps w:val="false"/>
          <w:sz w:val="20"/>
        </w:rPr>
        <w:t>2,935,677,751 authorized but unissued ordinary shares were re-designated and re-classified as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share capital reorganization, the Company’s authorized share capital consists of US$50,000 divided into 2,991,000,000 Class A ordinary shares and 9,000,000 Class B ordinary shares, each with a par value of US$0.000016666667. As of June 30, 2026, total Class A ordinary shares issued and outstanding were </w:t>
      </w:r>
      <w:bookmarkStart w:id="324" w:name="xdx_90D_eus-gaap--CommonStockSharesOutst"/>
      <w:bookmarkStart w:id="325" w:name="xdx_906_eus-gaap--CommonStockSharesIssue"/>
      <w:bookmarkEnd w:id="324"/>
      <w:bookmarkEnd w:id="325"/>
      <w:r>
        <w:rPr>
          <w:rFonts w:ascii="Times New Roman;Times;Serif" w:hAnsi="Times New Roman;Times;Serif"/>
          <w:b w:val="false"/>
          <w:i w:val="false"/>
          <w:caps w:val="false"/>
          <w:smallCaps w:val="false"/>
          <w:sz w:val="20"/>
        </w:rPr>
        <w:t xml:space="preserve">55,322,249 shares, and total Class B ordinary shares issued and outstanding </w:t>
      </w:r>
      <w:bookmarkStart w:id="326" w:name="xdx_900_eus-gaap--CommonStockSharesIssue"/>
      <w:bookmarkStart w:id="327" w:name="xdx_905_eus-gaap--CommonStockSharesOutst"/>
      <w:bookmarkEnd w:id="326"/>
      <w:bookmarkEnd w:id="327"/>
      <w:r>
        <w:rPr>
          <w:rFonts w:ascii="Times New Roman;Times;Serif" w:hAnsi="Times New Roman;Times;Serif"/>
          <w:b w:val="false"/>
          <w:i w:val="false"/>
          <w:caps w:val="false"/>
          <w:smallCaps w:val="false"/>
          <w:sz w:val="20"/>
        </w:rPr>
        <w:t>9,000,000.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attached to the new share classes are materially identical to those previous ordinary shares save that: (i) holders of Class B ordinary shares are entitled to thirty (30) votes per share on all matters decided by poll at any general meeting, and (ii) Class B ordinary shares are convertible into Class A ordinary shares at the option of the holder thereof on a one-for-one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28" w:name="xdx_80E_eus-gaap--SignificantAccountingP"/>
      <w:bookmarkEnd w:id="328"/>
      <w:r>
        <w:rPr>
          <w:rFonts w:ascii="Times New Roman;Times;Serif" w:hAnsi="Times New Roman;Times;Serif"/>
          <w:b/>
          <w:i w:val="false"/>
          <w:caps w:val="false"/>
          <w:smallCaps w:val="false"/>
          <w:sz w:val="20"/>
        </w:rPr>
        <w:t xml:space="preserve">2. </w:t>
      </w:r>
      <w:bookmarkStart w:id="329" w:name="xdx_824_z7gO4UVoq1Kg"/>
      <w:bookmarkEnd w:id="329"/>
      <w:r>
        <w:rPr>
          <w:rFonts w:ascii="Times New Roman;Times;Serif" w:hAnsi="Times New Roman;Times;Serif"/>
          <w:b/>
          <w:i w:val="false"/>
          <w:caps w:val="false"/>
          <w:smallCaps w:val="false"/>
          <w:sz w:val="20"/>
        </w:rPr>
        <w:t>SUMMARY OF SIGNIFICANT ACCOUNTING POLICIES</w:t>
      </w:r>
    </w:p>
    <w:p>
      <w:pPr>
        <w:pStyle w:val="TextBody"/>
        <w:bidi w:val="0"/>
        <w:ind w:left="647" w:right="0" w:hanging="647"/>
        <w:jc w:val="both"/>
        <w:rPr>
          <w:caps w:val="false"/>
          <w:smallCaps w:val="false"/>
        </w:rPr>
      </w:pPr>
      <w:bookmarkStart w:id="330" w:name="xdx_84A_eus-gaap--BasisOfAccountingPolic"/>
      <w:bookmarkEnd w:id="330"/>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245"/>
        <w:gridCol w:w="18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(a)</w:t>
            </w:r>
          </w:p>
        </w:tc>
        <w:tc>
          <w:tcPr>
            <w:tcW w:w="1805" w:type="dxa"/>
            <w:tcBorders/>
            <w:vAlign w:val="center"/>
          </w:tcPr>
          <w:p>
            <w:pPr>
              <w:pStyle w:val="TableContents"/>
              <w:bidi w:val="0"/>
              <w:spacing w:before="0" w:after="283"/>
              <w:jc w:val="left"/>
              <w:rPr>
                <w:b/>
                <w:sz w:val="20"/>
              </w:rPr>
            </w:pPr>
            <w:bookmarkStart w:id="331" w:name="xdx_862_zuSCagUCPor"/>
            <w:bookmarkEnd w:id="331"/>
            <w:r>
              <w:rPr>
                <w:b/>
                <w:sz w:val="20"/>
              </w:rPr>
              <w:t>Basis of Presentation</w:t>
            </w:r>
          </w:p>
        </w:tc>
      </w:tr>
    </w:tbl>
    <w:p>
      <w:pPr>
        <w:pStyle w:val="TextBody"/>
        <w:bidi w:val="0"/>
        <w:ind w:left="105" w:right="0" w:hanging="0"/>
        <w:jc w:val="both"/>
        <w:rPr>
          <w:caps w:val="false"/>
          <w:smallCaps w:val="false"/>
        </w:rPr>
      </w:pPr>
      <w:r>
        <w:rPr>
          <w:caps w:val="false"/>
          <w:smallCaps w:val="false"/>
        </w:rPr>
        <w:t> </w:t>
      </w:r>
    </w:p>
    <w:p>
      <w:pPr>
        <w:pStyle w:val="TextBody"/>
        <w:bidi w:val="0"/>
        <w:ind w:left="10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have been prepared in accordance with the rules and regulations of the Security and Exchange Commission and accounting principles generally accepted in the United States of America (“U.S. GAAP”) for interim financial reporting. Certain information and footnote disclosures normally included in financial statements prepared in conformity with U.S. GAAP have been condensed or omitted pursuant to such rules and regulations. Accordingly, these statements should be read in conjunction with the Company’s audited consolidated financial statements for the years ended December 31, 2024 and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management, the accompanying unaudited condensed consolidated financial statements reflect all normal recurring adjustments, which are necessary for a fair presentation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2025. The results of operations for the six months ended June 30, 2026 are not necessarily indicative of the results for the full year.</w:t>
      </w:r>
    </w:p>
    <w:p>
      <w:pPr>
        <w:pStyle w:val="TextBody"/>
        <w:bidi w:val="0"/>
        <w:jc w:val="both"/>
        <w:rPr>
          <w:caps w:val="false"/>
          <w:smallCaps w:val="false"/>
        </w:rPr>
      </w:pPr>
      <w:bookmarkStart w:id="332" w:name="xdx_848_eus-gaap--ConsolidationPolicyTex"/>
      <w:bookmarkEnd w:id="332"/>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245"/>
        <w:gridCol w:w="22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(b)</w:t>
            </w:r>
          </w:p>
        </w:tc>
        <w:tc>
          <w:tcPr>
            <w:tcW w:w="2285" w:type="dxa"/>
            <w:tcBorders/>
            <w:vAlign w:val="center"/>
          </w:tcPr>
          <w:p>
            <w:pPr>
              <w:pStyle w:val="TableContents"/>
              <w:bidi w:val="0"/>
              <w:spacing w:before="0" w:after="283"/>
              <w:jc w:val="left"/>
              <w:rPr>
                <w:b/>
                <w:sz w:val="20"/>
              </w:rPr>
            </w:pPr>
            <w:bookmarkStart w:id="333" w:name="xdx_862_zKl3jVbqB8o6"/>
            <w:bookmarkEnd w:id="333"/>
            <w:r>
              <w:rPr>
                <w:b/>
                <w:sz w:val="20"/>
              </w:rPr>
              <w:t>Principles of consolidation</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include the financial statements of the Company and its subsidiaries. All significant intercompany transactions and balances have been eliminated upon consolidation.</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334" w:name="xdx_84D_eus-gaap--UseOfEstimates_z31XJcz"/>
      <w:bookmarkEnd w:id="334"/>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75"/>
        <w:gridCol w:w="230"/>
        <w:gridCol w:w="13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b/>
                <w:sz w:val="20"/>
              </w:rPr>
            </w:pPr>
            <w:r>
              <w:rPr>
                <w:b/>
                <w:sz w:val="20"/>
              </w:rPr>
              <w:t>(c)</w:t>
            </w:r>
          </w:p>
        </w:tc>
        <w:tc>
          <w:tcPr>
            <w:tcW w:w="1370" w:type="dxa"/>
            <w:tcBorders/>
            <w:vAlign w:val="center"/>
          </w:tcPr>
          <w:p>
            <w:pPr>
              <w:pStyle w:val="TableContents"/>
              <w:bidi w:val="0"/>
              <w:spacing w:before="0" w:after="283"/>
              <w:jc w:val="left"/>
              <w:rPr>
                <w:b/>
                <w:sz w:val="20"/>
              </w:rPr>
            </w:pPr>
            <w:bookmarkStart w:id="335" w:name="xdx_868_zSrILCYq6wO4"/>
            <w:bookmarkEnd w:id="335"/>
            <w:r>
              <w:rPr>
                <w:b/>
                <w:sz w:val="20"/>
              </w:rPr>
              <w:t>Use of estimates</w:t>
            </w:r>
          </w:p>
        </w:tc>
      </w:tr>
    </w:tbl>
    <w:p>
      <w:pPr>
        <w:pStyle w:val="TextBody"/>
        <w:bidi w:val="0"/>
        <w:ind w:left="105" w:right="0" w:hanging="0"/>
        <w:jc w:val="both"/>
        <w:rPr>
          <w:caps w:val="false"/>
          <w:smallCaps w:val="false"/>
        </w:rPr>
      </w:pPr>
      <w:r>
        <w:rPr>
          <w:caps w:val="false"/>
          <w:smallCaps w:val="false"/>
        </w:rPr>
        <w:t> </w:t>
      </w:r>
    </w:p>
    <w:p>
      <w:pPr>
        <w:pStyle w:val="TextBody"/>
        <w:bidi w:val="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condensed consolidated financial statements in conformity with US GAAP requires management of the Company to make certain estimates and assumptions that affect the reported amounts of assets and liabilities as of the date of the unaudited condensed consolidated financial statements and the reported amounts of revenues and expenses during the reporting period. The Company’s management based on their estimates on historical experience and various other factors believed to be reasonable under the circumstances, the results of which form the basis for making judgements about the carrying value of assets and liabilities that are not readily apparent from other sources.</w:t>
      </w:r>
    </w:p>
    <w:p>
      <w:pPr>
        <w:pStyle w:val="TextBody"/>
        <w:bidi w:val="0"/>
        <w:ind w:left="0" w:right="0" w:firstLine="1"/>
        <w:jc w:val="both"/>
        <w:rPr>
          <w:caps w:val="false"/>
          <w:smallCaps w:val="false"/>
        </w:rPr>
      </w:pPr>
      <w:r>
        <w:rPr>
          <w:caps w:val="false"/>
          <w:smallCaps w:val="false"/>
        </w:rPr>
        <w:t> </w:t>
      </w:r>
    </w:p>
    <w:p>
      <w:pPr>
        <w:pStyle w:val="TextBody"/>
        <w:bidi w:val="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accounting estimates reflected in the Company’s unaudited condensed consolidated financial statements include, but not limited to revenue recognition, provision for credit losses, inventory write-off and reserve, the useful lives and impairment of long-lived assets and valuation allowance for deferred tax assets. Changes in facts and circumstances may result in revised estimates. Actual results could differ from those estimates.</w:t>
      </w:r>
    </w:p>
    <w:p>
      <w:pPr>
        <w:pStyle w:val="TextBody"/>
        <w:bidi w:val="0"/>
        <w:ind w:left="0" w:right="0" w:firstLine="1"/>
        <w:jc w:val="both"/>
        <w:rPr>
          <w:caps w:val="false"/>
          <w:smallCaps w:val="false"/>
        </w:rPr>
      </w:pPr>
      <w:bookmarkStart w:id="336" w:name="xdx_841_eus-gaap--ForeignCurrencyTransac"/>
      <w:bookmarkEnd w:id="336"/>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245"/>
        <w:gridCol w:w="40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(d)</w:t>
            </w:r>
          </w:p>
        </w:tc>
        <w:tc>
          <w:tcPr>
            <w:tcW w:w="4010" w:type="dxa"/>
            <w:tcBorders/>
            <w:vAlign w:val="center"/>
          </w:tcPr>
          <w:p>
            <w:pPr>
              <w:pStyle w:val="TableContents"/>
              <w:bidi w:val="0"/>
              <w:spacing w:before="0" w:after="283"/>
              <w:jc w:val="left"/>
              <w:rPr>
                <w:b/>
                <w:sz w:val="20"/>
              </w:rPr>
            </w:pPr>
            <w:bookmarkStart w:id="337" w:name="xdx_86B_zoqHSy1LQ72i"/>
            <w:bookmarkEnd w:id="337"/>
            <w:r>
              <w:rPr>
                <w:b/>
                <w:sz w:val="20"/>
              </w:rPr>
              <w:t>Foreign currency translations and transactions</w:t>
            </w:r>
          </w:p>
        </w:tc>
      </w:tr>
    </w:tbl>
    <w:p>
      <w:pPr>
        <w:pStyle w:val="TextBody"/>
        <w:bidi w:val="0"/>
        <w:ind w:left="105"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the United States dollar (“US$”). The functional currency of Zhongjinke, Zhongjinke BVI, Zhongjinke HK, and ZJK Precision HK is US$, the functional currency of its PRC subsidiaries is the Renminbi (“RMB”) and the functional currency of ZJK Precision Vietnam is the Vietnamese Dong (“VND”).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are reported using US$. The unaudited condensed consolidated statements of income and comprehensive income and the unaudited condensed consolidated statements of cash flows denominated in foreign currencies are translated at the average rate of exchange during the reporting period. Assets and liabilities denominated in foreign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unaudited condensed consolidated statements of changes in equity.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amounts from RMB and VND into US$ has been made at the following exchange rates:</w:t>
      </w:r>
    </w:p>
    <w:p>
      <w:pPr>
        <w:pStyle w:val="TextBody"/>
        <w:bidi w:val="0"/>
        <w:jc w:val="both"/>
        <w:rPr>
          <w:caps w:val="false"/>
          <w:smallCaps w:val="false"/>
        </w:rPr>
      </w:pPr>
      <w:r>
        <w:rPr>
          <w:caps w:val="false"/>
          <w:smallCaps w:val="false"/>
        </w:rPr>
        <w:t> </w:t>
      </w:r>
    </w:p>
    <w:p>
      <w:pPr>
        <w:pStyle w:val="Normal"/>
        <w:bidi w:val="0"/>
        <w:spacing w:before="0" w:after="0"/>
        <w:ind w:left="142" w:right="0" w:hanging="0"/>
        <w:jc w:val="left"/>
        <w:rPr>
          <w:sz w:val="4"/>
          <w:szCs w:val="4"/>
        </w:rPr>
      </w:pPr>
      <w:r>
        <w:rPr>
          <w:sz w:val="4"/>
          <w:szCs w:val="4"/>
        </w:rPr>
      </w:r>
      <w:bookmarkStart w:id="338" w:name="xdx_892_eus-gaap--ScheduleOfChangeInAsse"/>
      <w:bookmarkStart w:id="339" w:name="xdx_892_eus-gaap--ScheduleOfChangeInAsse"/>
      <w:bookmarkEnd w:id="339"/>
    </w:p>
    <w:tbl>
      <w:tblPr>
        <w:tblW w:w="7780" w:type="dxa"/>
        <w:jc w:val="left"/>
        <w:tblInd w:w="0" w:type="dxa"/>
        <w:tblLayout w:type="fixed"/>
        <w:tblCellMar>
          <w:top w:w="0" w:type="dxa"/>
          <w:left w:w="0" w:type="dxa"/>
          <w:bottom w:w="0" w:type="dxa"/>
          <w:right w:w="0" w:type="dxa"/>
        </w:tblCellMar>
      </w:tblPr>
      <w:tblGrid>
        <w:gridCol w:w="3395"/>
        <w:gridCol w:w="215"/>
        <w:gridCol w:w="1970"/>
        <w:gridCol w:w="215"/>
        <w:gridCol w:w="1985"/>
      </w:tblGrid>
      <w:tr>
        <w:trPr/>
        <w:tc>
          <w:tcPr>
            <w:tcW w:w="3395" w:type="dxa"/>
            <w:tcBorders/>
            <w:vAlign w:val="center"/>
          </w:tcPr>
          <w:p>
            <w:pPr>
              <w:pStyle w:val="TableContents"/>
              <w:bidi w:val="0"/>
              <w:spacing w:before="0" w:after="283"/>
              <w:ind w:left="0" w:right="0" w:hanging="200"/>
              <w:jc w:val="left"/>
              <w:rPr/>
            </w:pPr>
            <w:bookmarkStart w:id="340" w:name="xdx_8B7_z9PjQkMEK8Qg"/>
            <w:bookmarkEnd w:id="340"/>
            <w:r>
              <w:rPr/>
              <w:t>Schedule of Translation of amounts</w:t>
            </w:r>
          </w:p>
        </w:tc>
        <w:tc>
          <w:tcPr>
            <w:tcW w:w="21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center"/>
              <w:rPr/>
            </w:pPr>
            <w:r>
              <w:rPr/>
              <w:t> </w:t>
            </w:r>
          </w:p>
        </w:tc>
        <w:tc>
          <w:tcPr>
            <w:tcW w:w="1985" w:type="dxa"/>
            <w:tcBorders/>
            <w:vAlign w:val="center"/>
          </w:tcPr>
          <w:p>
            <w:pPr>
              <w:pStyle w:val="TableContents"/>
              <w:bidi w:val="0"/>
              <w:spacing w:before="0" w:after="283"/>
              <w:ind w:left="0" w:right="0" w:hanging="200"/>
              <w:jc w:val="center"/>
              <w:rPr/>
            </w:pPr>
            <w:r>
              <w:rPr/>
              <w:t> </w:t>
            </w:r>
          </w:p>
        </w:tc>
      </w:tr>
      <w:tr>
        <w:trPr/>
        <w:tc>
          <w:tcPr>
            <w:tcW w:w="339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417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sz w:val="20"/>
              </w:rPr>
            </w:pPr>
            <w:r>
              <w:rPr>
                <w:b/>
                <w:sz w:val="20"/>
              </w:rPr>
              <w:t>June 30, 2026</w:t>
            </w:r>
          </w:p>
        </w:tc>
      </w:tr>
      <w:tr>
        <w:trPr/>
        <w:tc>
          <w:tcPr>
            <w:tcW w:w="3395"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19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Period-end spot rate</w:t>
            </w:r>
          </w:p>
        </w:tc>
        <w:tc>
          <w:tcPr>
            <w:tcW w:w="215" w:type="dxa"/>
            <w:tcBorders>
              <w:bottom w:val="single" w:sz="8" w:space="0" w:color="000000"/>
            </w:tcBorders>
            <w:tcMar>
              <w:bottom w:w="28" w:type="dxa"/>
            </w:tcMar>
            <w:vAlign w:val="center"/>
          </w:tcPr>
          <w:p>
            <w:pPr>
              <w:pStyle w:val="TableContents"/>
              <w:bidi w:val="0"/>
              <w:spacing w:before="0" w:after="283"/>
              <w:jc w:val="center"/>
              <w:rPr>
                <w:rFonts w:eastAsia="SimSun"/>
                <w:b/>
                <w:sz w:val="20"/>
              </w:rPr>
            </w:pPr>
            <w:r>
              <w:rPr>
                <w:rFonts w:eastAsia="SimSun"/>
                <w:b/>
                <w:sz w:val="20"/>
              </w:rPr>
              <w:t>　</w:t>
            </w:r>
          </w:p>
        </w:tc>
        <w:tc>
          <w:tcPr>
            <w:tcW w:w="1985" w:type="dxa"/>
            <w:tcBorders>
              <w:bottom w:val="single" w:sz="8" w:space="0" w:color="000000"/>
            </w:tcBorders>
            <w:tcMar>
              <w:bottom w:w="28" w:type="dxa"/>
            </w:tcMar>
            <w:vAlign w:val="center"/>
          </w:tcPr>
          <w:p>
            <w:pPr>
              <w:pStyle w:val="TableContents"/>
              <w:bidi w:val="0"/>
              <w:spacing w:before="0" w:after="283"/>
              <w:ind w:left="0" w:right="0" w:hanging="200"/>
              <w:jc w:val="center"/>
              <w:rPr>
                <w:b/>
                <w:sz w:val="20"/>
              </w:rPr>
            </w:pPr>
            <w:r>
              <w:rPr>
                <w:b/>
                <w:sz w:val="20"/>
              </w:rPr>
              <w:t>Average rate</w:t>
            </w:r>
          </w:p>
        </w:tc>
      </w:tr>
      <w:tr>
        <w:trPr/>
        <w:tc>
          <w:tcPr>
            <w:tcW w:w="3395" w:type="dxa"/>
            <w:tcBorders/>
            <w:shd w:fill="CCECFF" w:val="clear"/>
            <w:vAlign w:val="center"/>
          </w:tcPr>
          <w:p>
            <w:pPr>
              <w:pStyle w:val="TableContents"/>
              <w:bidi w:val="0"/>
              <w:spacing w:before="0" w:after="283"/>
              <w:jc w:val="left"/>
              <w:rPr>
                <w:sz w:val="20"/>
              </w:rPr>
            </w:pPr>
            <w:r>
              <w:rPr>
                <w:sz w:val="20"/>
              </w:rPr>
              <w:t>US$ against RMB</w:t>
            </w:r>
          </w:p>
        </w:tc>
        <w:tc>
          <w:tcPr>
            <w:tcW w:w="215" w:type="dxa"/>
            <w:tcBorders/>
            <w:shd w:fill="CCECFF" w:val="clear"/>
            <w:vAlign w:val="center"/>
          </w:tcPr>
          <w:p>
            <w:pPr>
              <w:pStyle w:val="TableContents"/>
              <w:bidi w:val="0"/>
              <w:spacing w:before="0" w:after="283"/>
              <w:jc w:val="left"/>
              <w:rPr>
                <w:rFonts w:eastAsia="SimSun"/>
                <w:sz w:val="20"/>
              </w:rPr>
            </w:pPr>
            <w:r>
              <w:rPr>
                <w:rFonts w:eastAsia="SimSun"/>
                <w:sz w:val="20"/>
              </w:rPr>
              <w:t>　</w:t>
            </w:r>
          </w:p>
        </w:tc>
        <w:tc>
          <w:tcPr>
            <w:tcW w:w="1970" w:type="dxa"/>
            <w:tcBorders/>
            <w:shd w:fill="CCECFF" w:val="clear"/>
            <w:vAlign w:val="center"/>
          </w:tcPr>
          <w:p>
            <w:pPr>
              <w:pStyle w:val="TableContents"/>
              <w:bidi w:val="0"/>
              <w:spacing w:before="0" w:after="283"/>
              <w:jc w:val="center"/>
              <w:rPr>
                <w:sz w:val="20"/>
              </w:rPr>
            </w:pPr>
            <w:bookmarkStart w:id="341" w:name="xdx_902_eus-gaap--ForeignCurrencyTransac"/>
            <w:bookmarkEnd w:id="341"/>
            <w:r>
              <w:rPr>
                <w:sz w:val="20"/>
              </w:rPr>
              <w:t>US$1=RMB6.7851</w:t>
            </w:r>
          </w:p>
        </w:tc>
        <w:tc>
          <w:tcPr>
            <w:tcW w:w="215" w:type="dxa"/>
            <w:tcBorders/>
            <w:shd w:fill="CCECFF" w:val="clear"/>
            <w:vAlign w:val="center"/>
          </w:tcPr>
          <w:p>
            <w:pPr>
              <w:pStyle w:val="TableContents"/>
              <w:bidi w:val="0"/>
              <w:spacing w:before="0" w:after="283"/>
              <w:jc w:val="center"/>
              <w:rPr/>
            </w:pPr>
            <w:r>
              <w:rPr/>
              <w:t> </w:t>
            </w:r>
          </w:p>
        </w:tc>
        <w:tc>
          <w:tcPr>
            <w:tcW w:w="1985" w:type="dxa"/>
            <w:tcBorders/>
            <w:shd w:fill="CCECFF" w:val="clear"/>
            <w:vAlign w:val="center"/>
          </w:tcPr>
          <w:p>
            <w:pPr>
              <w:pStyle w:val="TableContents"/>
              <w:bidi w:val="0"/>
              <w:spacing w:before="0" w:after="283"/>
              <w:ind w:left="0" w:right="0" w:hanging="200"/>
              <w:jc w:val="center"/>
              <w:rPr>
                <w:sz w:val="20"/>
              </w:rPr>
            </w:pPr>
            <w:bookmarkStart w:id="342" w:name="xdx_903_eus-gaap--ForeignCurrencyTransac"/>
            <w:bookmarkEnd w:id="342"/>
            <w:r>
              <w:rPr>
                <w:sz w:val="20"/>
              </w:rPr>
              <w:t>US$1=RMB6.8624</w:t>
            </w:r>
          </w:p>
        </w:tc>
      </w:tr>
      <w:tr>
        <w:trPr/>
        <w:tc>
          <w:tcPr>
            <w:tcW w:w="3395" w:type="dxa"/>
            <w:tcBorders/>
            <w:vAlign w:val="center"/>
          </w:tcPr>
          <w:p>
            <w:pPr>
              <w:pStyle w:val="TableContents"/>
              <w:bidi w:val="0"/>
              <w:spacing w:before="0" w:after="283"/>
              <w:jc w:val="left"/>
              <w:rPr>
                <w:sz w:val="20"/>
              </w:rPr>
            </w:pPr>
            <w:r>
              <w:rPr>
                <w:sz w:val="20"/>
              </w:rPr>
              <w:t>US$ against VND</w:t>
            </w:r>
          </w:p>
        </w:tc>
        <w:tc>
          <w:tcPr>
            <w:tcW w:w="21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sz w:val="20"/>
              </w:rPr>
            </w:pPr>
            <w:bookmarkStart w:id="343" w:name="xdx_90D_eus-gaap--ForeignCurrencyTransac"/>
            <w:bookmarkEnd w:id="343"/>
            <w:r>
              <w:rPr>
                <w:sz w:val="20"/>
              </w:rPr>
              <w:t>US$1=VND26312.3278</w:t>
            </w:r>
          </w:p>
        </w:tc>
        <w:tc>
          <w:tcPr>
            <w:tcW w:w="215" w:type="dxa"/>
            <w:tcBorders/>
            <w:vAlign w:val="center"/>
          </w:tcPr>
          <w:p>
            <w:pPr>
              <w:pStyle w:val="TableContents"/>
              <w:bidi w:val="0"/>
              <w:spacing w:before="0" w:after="283"/>
              <w:jc w:val="center"/>
              <w:rPr/>
            </w:pPr>
            <w:r>
              <w:rPr/>
              <w:t> </w:t>
            </w:r>
          </w:p>
        </w:tc>
        <w:tc>
          <w:tcPr>
            <w:tcW w:w="1985" w:type="dxa"/>
            <w:tcBorders/>
            <w:vAlign w:val="center"/>
          </w:tcPr>
          <w:p>
            <w:pPr>
              <w:pStyle w:val="TableContents"/>
              <w:bidi w:val="0"/>
              <w:spacing w:before="0" w:after="283"/>
              <w:jc w:val="center"/>
              <w:rPr>
                <w:sz w:val="20"/>
              </w:rPr>
            </w:pPr>
            <w:bookmarkStart w:id="344" w:name="xdx_90C_eus-gaap--ForeignCurrencyTransac"/>
            <w:bookmarkEnd w:id="344"/>
            <w:r>
              <w:rPr>
                <w:sz w:val="20"/>
              </w:rPr>
              <w:t>US$1=VND26254.3067</w:t>
            </w:r>
          </w:p>
        </w:tc>
      </w:tr>
    </w:tbl>
    <w:p>
      <w:pPr>
        <w:pStyle w:val="TextBody"/>
        <w:bidi w:val="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505"/>
        <w:gridCol w:w="215"/>
        <w:gridCol w:w="1970"/>
        <w:gridCol w:w="215"/>
        <w:gridCol w:w="1985"/>
      </w:tblGrid>
      <w:tr>
        <w:trPr/>
        <w:tc>
          <w:tcPr>
            <w:tcW w:w="1505" w:type="dxa"/>
            <w:tcBorders/>
            <w:vAlign w:val="center"/>
          </w:tcPr>
          <w:p>
            <w:pPr>
              <w:pStyle w:val="TableContents"/>
              <w:bidi w:val="0"/>
              <w:spacing w:before="0" w:after="283"/>
              <w:ind w:left="0" w:right="0" w:hanging="200"/>
              <w:jc w:val="left"/>
              <w:rPr/>
            </w:pPr>
            <w:r>
              <w:rPr/>
              <w:t> </w:t>
            </w:r>
          </w:p>
        </w:tc>
        <w:tc>
          <w:tcPr>
            <w:tcW w:w="215" w:type="dxa"/>
            <w:tcBorders/>
            <w:vAlign w:val="center"/>
          </w:tcPr>
          <w:p>
            <w:pPr>
              <w:pStyle w:val="TableContents"/>
              <w:bidi w:val="0"/>
              <w:spacing w:before="0" w:after="283"/>
              <w:jc w:val="center"/>
              <w:rPr/>
            </w:pPr>
            <w:r>
              <w:rPr/>
              <w:t> </w:t>
            </w:r>
          </w:p>
        </w:tc>
        <w:tc>
          <w:tcPr>
            <w:tcW w:w="417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sz w:val="20"/>
              </w:rPr>
            </w:pPr>
            <w:r>
              <w:rPr>
                <w:b/>
                <w:sz w:val="20"/>
              </w:rPr>
              <w:t>December 31, 2025</w:t>
            </w:r>
          </w:p>
        </w:tc>
      </w:tr>
      <w:tr>
        <w:trPr/>
        <w:tc>
          <w:tcPr>
            <w:tcW w:w="1505"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center"/>
              <w:rPr/>
            </w:pPr>
            <w:r>
              <w:rPr/>
              <w:t> </w:t>
            </w:r>
          </w:p>
        </w:tc>
        <w:tc>
          <w:tcPr>
            <w:tcW w:w="19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Year-end spot rate</w:t>
            </w:r>
          </w:p>
        </w:tc>
        <w:tc>
          <w:tcPr>
            <w:tcW w:w="215" w:type="dxa"/>
            <w:tcBorders>
              <w:bottom w:val="single" w:sz="8" w:space="0" w:color="000000"/>
            </w:tcBorders>
            <w:tcMar>
              <w:bottom w:w="28" w:type="dxa"/>
            </w:tcMar>
            <w:vAlign w:val="center"/>
          </w:tcPr>
          <w:p>
            <w:pPr>
              <w:pStyle w:val="TableContents"/>
              <w:bidi w:val="0"/>
              <w:spacing w:before="0" w:after="283"/>
              <w:jc w:val="center"/>
              <w:rPr>
                <w:rFonts w:eastAsia="SimSun"/>
                <w:b/>
                <w:sz w:val="20"/>
              </w:rPr>
            </w:pPr>
            <w:r>
              <w:rPr>
                <w:rFonts w:eastAsia="SimSun"/>
                <w:b/>
                <w:sz w:val="20"/>
              </w:rPr>
              <w:t>　</w:t>
            </w:r>
          </w:p>
        </w:tc>
        <w:tc>
          <w:tcPr>
            <w:tcW w:w="1985" w:type="dxa"/>
            <w:tcBorders>
              <w:bottom w:val="single" w:sz="8" w:space="0" w:color="000000"/>
            </w:tcBorders>
            <w:tcMar>
              <w:bottom w:w="28" w:type="dxa"/>
            </w:tcMar>
            <w:vAlign w:val="center"/>
          </w:tcPr>
          <w:p>
            <w:pPr>
              <w:pStyle w:val="TableContents"/>
              <w:bidi w:val="0"/>
              <w:spacing w:before="0" w:after="283"/>
              <w:ind w:left="0" w:right="0" w:hanging="200"/>
              <w:jc w:val="center"/>
              <w:rPr>
                <w:b/>
                <w:sz w:val="20"/>
              </w:rPr>
            </w:pPr>
            <w:r>
              <w:rPr>
                <w:b/>
                <w:sz w:val="20"/>
              </w:rPr>
              <w:t>Average rate</w:t>
            </w:r>
          </w:p>
        </w:tc>
      </w:tr>
      <w:tr>
        <w:trPr/>
        <w:tc>
          <w:tcPr>
            <w:tcW w:w="1505" w:type="dxa"/>
            <w:tcBorders/>
            <w:shd w:fill="CCECFF" w:val="clear"/>
            <w:vAlign w:val="center"/>
          </w:tcPr>
          <w:p>
            <w:pPr>
              <w:pStyle w:val="TableContents"/>
              <w:bidi w:val="0"/>
              <w:spacing w:before="0" w:after="283"/>
              <w:jc w:val="left"/>
              <w:rPr>
                <w:sz w:val="20"/>
              </w:rPr>
            </w:pPr>
            <w:r>
              <w:rPr>
                <w:sz w:val="20"/>
              </w:rPr>
              <w:t>US$ against RMB</w:t>
            </w:r>
          </w:p>
        </w:tc>
        <w:tc>
          <w:tcPr>
            <w:tcW w:w="215" w:type="dxa"/>
            <w:tcBorders/>
            <w:shd w:fill="CCECFF" w:val="clear"/>
            <w:vAlign w:val="center"/>
          </w:tcPr>
          <w:p>
            <w:pPr>
              <w:pStyle w:val="TableContents"/>
              <w:bidi w:val="0"/>
              <w:spacing w:before="0" w:after="283"/>
              <w:jc w:val="left"/>
              <w:rPr>
                <w:rFonts w:eastAsia="SimSun"/>
                <w:sz w:val="20"/>
              </w:rPr>
            </w:pPr>
            <w:r>
              <w:rPr>
                <w:rFonts w:eastAsia="SimSun"/>
                <w:sz w:val="20"/>
              </w:rPr>
              <w:t>　</w:t>
            </w:r>
          </w:p>
        </w:tc>
        <w:tc>
          <w:tcPr>
            <w:tcW w:w="1970" w:type="dxa"/>
            <w:tcBorders/>
            <w:shd w:fill="CCECFF" w:val="clear"/>
            <w:vAlign w:val="center"/>
          </w:tcPr>
          <w:p>
            <w:pPr>
              <w:pStyle w:val="TableContents"/>
              <w:bidi w:val="0"/>
              <w:spacing w:before="0" w:after="283"/>
              <w:jc w:val="center"/>
              <w:rPr>
                <w:sz w:val="20"/>
              </w:rPr>
            </w:pPr>
            <w:bookmarkStart w:id="345" w:name="xdx_902_eus-gaap--ForeignCurrencyTransac"/>
            <w:bookmarkEnd w:id="345"/>
            <w:r>
              <w:rPr>
                <w:sz w:val="20"/>
              </w:rPr>
              <w:t>US$1=RMB6.9931</w:t>
            </w:r>
          </w:p>
        </w:tc>
        <w:tc>
          <w:tcPr>
            <w:tcW w:w="215" w:type="dxa"/>
            <w:tcBorders/>
            <w:shd w:fill="CCECFF" w:val="clear"/>
            <w:vAlign w:val="center"/>
          </w:tcPr>
          <w:p>
            <w:pPr>
              <w:pStyle w:val="TableContents"/>
              <w:bidi w:val="0"/>
              <w:spacing w:before="0" w:after="283"/>
              <w:jc w:val="center"/>
              <w:rPr/>
            </w:pPr>
            <w:r>
              <w:rPr/>
              <w:t> </w:t>
            </w:r>
          </w:p>
        </w:tc>
        <w:tc>
          <w:tcPr>
            <w:tcW w:w="1985" w:type="dxa"/>
            <w:tcBorders/>
            <w:shd w:fill="CCECFF" w:val="clear"/>
            <w:vAlign w:val="center"/>
          </w:tcPr>
          <w:p>
            <w:pPr>
              <w:pStyle w:val="TableContents"/>
              <w:bidi w:val="0"/>
              <w:spacing w:before="0" w:after="283"/>
              <w:ind w:left="0" w:right="0" w:hanging="200"/>
              <w:jc w:val="center"/>
              <w:rPr>
                <w:sz w:val="20"/>
              </w:rPr>
            </w:pPr>
            <w:bookmarkStart w:id="346" w:name="xdx_90A_eus-gaap--ForeignCurrencyTransac"/>
            <w:bookmarkEnd w:id="346"/>
            <w:r>
              <w:rPr>
                <w:sz w:val="20"/>
              </w:rPr>
              <w:t>US$1=RMB7.1708</w:t>
            </w:r>
          </w:p>
        </w:tc>
      </w:tr>
      <w:tr>
        <w:trPr/>
        <w:tc>
          <w:tcPr>
            <w:tcW w:w="1505" w:type="dxa"/>
            <w:tcBorders/>
            <w:vAlign w:val="center"/>
          </w:tcPr>
          <w:p>
            <w:pPr>
              <w:pStyle w:val="TableContents"/>
              <w:bidi w:val="0"/>
              <w:spacing w:before="0" w:after="283"/>
              <w:jc w:val="left"/>
              <w:rPr>
                <w:sz w:val="20"/>
              </w:rPr>
            </w:pPr>
            <w:r>
              <w:rPr>
                <w:sz w:val="20"/>
              </w:rPr>
              <w:t>US$ against VND</w:t>
            </w:r>
          </w:p>
        </w:tc>
        <w:tc>
          <w:tcPr>
            <w:tcW w:w="21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sz w:val="20"/>
              </w:rPr>
            </w:pPr>
            <w:bookmarkStart w:id="347" w:name="xdx_90A_eus-gaap--ForeignCurrencyTransac"/>
            <w:bookmarkEnd w:id="347"/>
            <w:r>
              <w:rPr>
                <w:sz w:val="20"/>
              </w:rPr>
              <w:t>US$1=VND26300.0000</w:t>
            </w:r>
          </w:p>
        </w:tc>
        <w:tc>
          <w:tcPr>
            <w:tcW w:w="215" w:type="dxa"/>
            <w:tcBorders/>
            <w:vAlign w:val="center"/>
          </w:tcPr>
          <w:p>
            <w:pPr>
              <w:pStyle w:val="TableContents"/>
              <w:bidi w:val="0"/>
              <w:spacing w:before="0" w:after="283"/>
              <w:jc w:val="center"/>
              <w:rPr/>
            </w:pPr>
            <w:r>
              <w:rPr/>
              <w:t> </w:t>
            </w:r>
          </w:p>
        </w:tc>
        <w:tc>
          <w:tcPr>
            <w:tcW w:w="1985" w:type="dxa"/>
            <w:tcBorders/>
            <w:vAlign w:val="center"/>
          </w:tcPr>
          <w:p>
            <w:pPr>
              <w:pStyle w:val="TableContents"/>
              <w:bidi w:val="0"/>
              <w:spacing w:before="0" w:after="283"/>
              <w:jc w:val="center"/>
              <w:rPr>
                <w:sz w:val="20"/>
              </w:rPr>
            </w:pPr>
            <w:bookmarkStart w:id="348" w:name="xdx_909_eus-gaap--ForeignCurrencyTransac"/>
            <w:bookmarkEnd w:id="348"/>
            <w:r>
              <w:rPr>
                <w:sz w:val="20"/>
              </w:rPr>
              <w:t>US$1=VND26021.0833</w:t>
            </w:r>
          </w:p>
        </w:tc>
      </w:tr>
    </w:tbl>
    <w:p>
      <w:pPr>
        <w:pStyle w:val="TextBody"/>
        <w:bidi w:val="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505"/>
        <w:gridCol w:w="215"/>
        <w:gridCol w:w="1970"/>
        <w:gridCol w:w="215"/>
        <w:gridCol w:w="1985"/>
      </w:tblGrid>
      <w:tr>
        <w:trPr/>
        <w:tc>
          <w:tcPr>
            <w:tcW w:w="1505" w:type="dxa"/>
            <w:tcBorders/>
            <w:vAlign w:val="center"/>
          </w:tcPr>
          <w:p>
            <w:pPr>
              <w:pStyle w:val="TableContents"/>
              <w:bidi w:val="0"/>
              <w:spacing w:before="0" w:after="283"/>
              <w:ind w:left="0" w:right="0" w:hanging="200"/>
              <w:jc w:val="left"/>
              <w:rPr/>
            </w:pPr>
            <w:r>
              <w:rPr/>
              <w:t> </w:t>
            </w:r>
          </w:p>
        </w:tc>
        <w:tc>
          <w:tcPr>
            <w:tcW w:w="215" w:type="dxa"/>
            <w:tcBorders/>
            <w:vAlign w:val="center"/>
          </w:tcPr>
          <w:p>
            <w:pPr>
              <w:pStyle w:val="TableContents"/>
              <w:bidi w:val="0"/>
              <w:spacing w:before="0" w:after="283"/>
              <w:jc w:val="left"/>
              <w:rPr/>
            </w:pPr>
            <w:r>
              <w:rPr/>
              <w:t> </w:t>
            </w:r>
          </w:p>
        </w:tc>
        <w:tc>
          <w:tcPr>
            <w:tcW w:w="417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sz w:val="20"/>
              </w:rPr>
            </w:pPr>
            <w:r>
              <w:rPr>
                <w:b/>
                <w:sz w:val="20"/>
              </w:rPr>
              <w:t>June 30, 2025</w:t>
            </w:r>
          </w:p>
        </w:tc>
      </w:tr>
      <w:tr>
        <w:trPr/>
        <w:tc>
          <w:tcPr>
            <w:tcW w:w="1505"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19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Period-end spot rate</w:t>
            </w:r>
          </w:p>
        </w:tc>
        <w:tc>
          <w:tcPr>
            <w:tcW w:w="215" w:type="dxa"/>
            <w:tcBorders>
              <w:bottom w:val="single" w:sz="8" w:space="0" w:color="000000"/>
            </w:tcBorders>
            <w:tcMar>
              <w:bottom w:w="28" w:type="dxa"/>
            </w:tcMar>
            <w:vAlign w:val="center"/>
          </w:tcPr>
          <w:p>
            <w:pPr>
              <w:pStyle w:val="TableContents"/>
              <w:bidi w:val="0"/>
              <w:spacing w:before="0" w:after="283"/>
              <w:jc w:val="center"/>
              <w:rPr>
                <w:rFonts w:eastAsia="SimSun"/>
                <w:b/>
                <w:sz w:val="20"/>
              </w:rPr>
            </w:pPr>
            <w:r>
              <w:rPr>
                <w:rFonts w:eastAsia="SimSun"/>
                <w:b/>
                <w:sz w:val="20"/>
              </w:rPr>
              <w:t>　</w:t>
            </w:r>
          </w:p>
        </w:tc>
        <w:tc>
          <w:tcPr>
            <w:tcW w:w="1985" w:type="dxa"/>
            <w:tcBorders>
              <w:bottom w:val="single" w:sz="8" w:space="0" w:color="000000"/>
            </w:tcBorders>
            <w:tcMar>
              <w:bottom w:w="28" w:type="dxa"/>
            </w:tcMar>
            <w:vAlign w:val="center"/>
          </w:tcPr>
          <w:p>
            <w:pPr>
              <w:pStyle w:val="TableContents"/>
              <w:bidi w:val="0"/>
              <w:spacing w:before="0" w:after="283"/>
              <w:ind w:left="0" w:right="0" w:hanging="200"/>
              <w:jc w:val="center"/>
              <w:rPr>
                <w:b/>
                <w:sz w:val="20"/>
              </w:rPr>
            </w:pPr>
            <w:r>
              <w:rPr>
                <w:b/>
                <w:sz w:val="20"/>
              </w:rPr>
              <w:t>Average rate</w:t>
            </w:r>
          </w:p>
        </w:tc>
      </w:tr>
      <w:tr>
        <w:trPr/>
        <w:tc>
          <w:tcPr>
            <w:tcW w:w="1505" w:type="dxa"/>
            <w:tcBorders/>
            <w:shd w:fill="CCECFF" w:val="clear"/>
            <w:vAlign w:val="center"/>
          </w:tcPr>
          <w:p>
            <w:pPr>
              <w:pStyle w:val="TableContents"/>
              <w:bidi w:val="0"/>
              <w:spacing w:before="0" w:after="283"/>
              <w:jc w:val="left"/>
              <w:rPr>
                <w:sz w:val="20"/>
              </w:rPr>
            </w:pPr>
            <w:r>
              <w:rPr>
                <w:sz w:val="20"/>
              </w:rPr>
              <w:t>US$ against RMB</w:t>
            </w:r>
          </w:p>
        </w:tc>
        <w:tc>
          <w:tcPr>
            <w:tcW w:w="215" w:type="dxa"/>
            <w:tcBorders/>
            <w:shd w:fill="CCEEFF" w:val="clear"/>
            <w:vAlign w:val="center"/>
          </w:tcPr>
          <w:p>
            <w:pPr>
              <w:pStyle w:val="TableContents"/>
              <w:bidi w:val="0"/>
              <w:spacing w:before="0" w:after="283"/>
              <w:jc w:val="left"/>
              <w:rPr>
                <w:rFonts w:eastAsia="SimSun"/>
                <w:sz w:val="20"/>
              </w:rPr>
            </w:pPr>
            <w:r>
              <w:rPr>
                <w:rFonts w:eastAsia="SimSun"/>
                <w:sz w:val="20"/>
              </w:rPr>
              <w:t>　</w:t>
            </w:r>
          </w:p>
        </w:tc>
        <w:tc>
          <w:tcPr>
            <w:tcW w:w="1970" w:type="dxa"/>
            <w:tcBorders/>
            <w:shd w:fill="CCEEFF" w:val="clear"/>
            <w:vAlign w:val="center"/>
          </w:tcPr>
          <w:p>
            <w:pPr>
              <w:pStyle w:val="TableContents"/>
              <w:bidi w:val="0"/>
              <w:spacing w:before="0" w:after="283"/>
              <w:jc w:val="center"/>
              <w:rPr>
                <w:sz w:val="20"/>
              </w:rPr>
            </w:pPr>
            <w:bookmarkStart w:id="349" w:name="xdx_90B_eus-gaap--ForeignCurrencyTransac"/>
            <w:bookmarkEnd w:id="349"/>
            <w:r>
              <w:rPr>
                <w:sz w:val="20"/>
              </w:rPr>
              <w:t>US$1=RMB7.1636</w:t>
            </w:r>
          </w:p>
        </w:tc>
        <w:tc>
          <w:tcPr>
            <w:tcW w:w="215" w:type="dxa"/>
            <w:tcBorders/>
            <w:shd w:fill="CCEEFF" w:val="clear"/>
            <w:vAlign w:val="center"/>
          </w:tcPr>
          <w:p>
            <w:pPr>
              <w:pStyle w:val="TableContents"/>
              <w:bidi w:val="0"/>
              <w:spacing w:before="0" w:after="283"/>
              <w:jc w:val="center"/>
              <w:rPr/>
            </w:pPr>
            <w:r>
              <w:rPr/>
              <w:t> </w:t>
            </w:r>
          </w:p>
        </w:tc>
        <w:tc>
          <w:tcPr>
            <w:tcW w:w="1985" w:type="dxa"/>
            <w:tcBorders/>
            <w:shd w:fill="CCEEFF" w:val="clear"/>
            <w:vAlign w:val="center"/>
          </w:tcPr>
          <w:p>
            <w:pPr>
              <w:pStyle w:val="TableContents"/>
              <w:bidi w:val="0"/>
              <w:spacing w:before="0" w:after="283"/>
              <w:ind w:left="0" w:right="0" w:hanging="200"/>
              <w:jc w:val="center"/>
              <w:rPr>
                <w:sz w:val="20"/>
              </w:rPr>
            </w:pPr>
            <w:bookmarkStart w:id="350" w:name="xdx_90C_eus-gaap--ForeignCurrencyTransac"/>
            <w:bookmarkEnd w:id="350"/>
            <w:r>
              <w:rPr>
                <w:sz w:val="20"/>
              </w:rPr>
              <w:t>US$1=RMB7.2358</w:t>
            </w:r>
          </w:p>
        </w:tc>
      </w:tr>
      <w:tr>
        <w:trPr/>
        <w:tc>
          <w:tcPr>
            <w:tcW w:w="1505" w:type="dxa"/>
            <w:tcBorders/>
            <w:vAlign w:val="center"/>
          </w:tcPr>
          <w:p>
            <w:pPr>
              <w:pStyle w:val="TableContents"/>
              <w:bidi w:val="0"/>
              <w:spacing w:before="0" w:after="283"/>
              <w:jc w:val="left"/>
              <w:rPr>
                <w:sz w:val="20"/>
              </w:rPr>
            </w:pPr>
            <w:r>
              <w:rPr>
                <w:sz w:val="20"/>
              </w:rPr>
              <w:t>US$ against VND</w:t>
            </w:r>
          </w:p>
        </w:tc>
        <w:tc>
          <w:tcPr>
            <w:tcW w:w="21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sz w:val="20"/>
              </w:rPr>
            </w:pPr>
            <w:bookmarkStart w:id="351" w:name="xdx_904_eus-gaap--ForeignCurrencyTransac"/>
            <w:bookmarkEnd w:id="351"/>
            <w:r>
              <w:rPr>
                <w:sz w:val="20"/>
              </w:rPr>
              <w:t>US$1=VND26120.5000</w:t>
            </w:r>
          </w:p>
        </w:tc>
        <w:tc>
          <w:tcPr>
            <w:tcW w:w="215" w:type="dxa"/>
            <w:tcBorders/>
            <w:vAlign w:val="center"/>
          </w:tcPr>
          <w:p>
            <w:pPr>
              <w:pStyle w:val="TableContents"/>
              <w:bidi w:val="0"/>
              <w:spacing w:before="0" w:after="283"/>
              <w:jc w:val="center"/>
              <w:rPr/>
            </w:pPr>
            <w:r>
              <w:rPr/>
              <w:t> </w:t>
            </w:r>
          </w:p>
        </w:tc>
        <w:tc>
          <w:tcPr>
            <w:tcW w:w="1985" w:type="dxa"/>
            <w:tcBorders/>
            <w:vAlign w:val="center"/>
          </w:tcPr>
          <w:p>
            <w:pPr>
              <w:pStyle w:val="TableContents"/>
              <w:bidi w:val="0"/>
              <w:spacing w:before="0" w:after="283"/>
              <w:jc w:val="center"/>
              <w:rPr>
                <w:sz w:val="20"/>
              </w:rPr>
            </w:pPr>
            <w:bookmarkStart w:id="352" w:name="xdx_907_eus-gaap--ForeignCurrencyTransac"/>
            <w:bookmarkEnd w:id="352"/>
            <w:r>
              <w:rPr>
                <w:sz w:val="20"/>
              </w:rPr>
              <w:t>US$1=VND25717.0000</w:t>
            </w:r>
          </w:p>
        </w:tc>
      </w:tr>
    </w:tbl>
    <w:p>
      <w:pPr>
        <w:pStyle w:val="TextBody"/>
        <w:bidi w:val="0"/>
        <w:ind w:left="142" w:right="0" w:hanging="0"/>
        <w:jc w:val="both"/>
        <w:rPr>
          <w:caps w:val="false"/>
          <w:smallCaps w:val="false"/>
        </w:rPr>
      </w:pPr>
      <w:bookmarkStart w:id="353" w:name="xdx_8A3_zKvL4zvKrq78"/>
      <w:bookmarkEnd w:id="35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2" w:right="0" w:hanging="0"/>
        <w:jc w:val="both"/>
        <w:rPr>
          <w:caps w:val="false"/>
          <w:smallCaps w:val="false"/>
        </w:rPr>
      </w:pPr>
      <w:bookmarkStart w:id="354" w:name="xdx_843_eus-gaap--ConcentrationRiskCredi"/>
      <w:bookmarkEnd w:id="354"/>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75"/>
        <w:gridCol w:w="230"/>
        <w:gridCol w:w="23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b/>
                <w:sz w:val="20"/>
              </w:rPr>
            </w:pPr>
            <w:r>
              <w:rPr>
                <w:b/>
                <w:sz w:val="20"/>
              </w:rPr>
              <w:t>(e)</w:t>
            </w:r>
          </w:p>
        </w:tc>
        <w:tc>
          <w:tcPr>
            <w:tcW w:w="2375" w:type="dxa"/>
            <w:tcBorders/>
            <w:vAlign w:val="center"/>
          </w:tcPr>
          <w:p>
            <w:pPr>
              <w:pStyle w:val="TableContents"/>
              <w:bidi w:val="0"/>
              <w:spacing w:before="0" w:after="283"/>
              <w:jc w:val="left"/>
              <w:rPr>
                <w:b/>
                <w:sz w:val="20"/>
              </w:rPr>
            </w:pPr>
            <w:bookmarkStart w:id="355" w:name="xdx_86B_z7QpKEeAndn7"/>
            <w:bookmarkEnd w:id="355"/>
            <w:r>
              <w:rPr>
                <w:b/>
                <w:sz w:val="20"/>
              </w:rPr>
              <w:t>Concentration of credit risk</w:t>
            </w:r>
          </w:p>
        </w:tc>
      </w:tr>
    </w:tbl>
    <w:p>
      <w:pPr>
        <w:pStyle w:val="TextBody"/>
        <w:bidi w:val="0"/>
        <w:ind w:left="105" w:right="0" w:hanging="0"/>
        <w:jc w:val="both"/>
        <w:rPr>
          <w:caps w:val="false"/>
          <w:smallCaps w:val="false"/>
        </w:rPr>
      </w:pPr>
      <w:r>
        <w:rPr>
          <w:caps w:val="false"/>
          <w:smallCaps w:val="false"/>
        </w:rPr>
        <w:t> </w:t>
      </w:r>
    </w:p>
    <w:p>
      <w:pPr>
        <w:pStyle w:val="TextBody"/>
        <w:bidi w:val="0"/>
        <w:ind w:left="10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the concentration of credit risk consist primarily of cash and cash equivalents, restricted cash, accounts receivable, and other receivables. As of December 31, 2025 and June 30, 2026, the Company places its cash and cash equivalents and restricted cash with major financial institutions located in the PRC and overseas, which management considers to be of high credit quality. To manage credit risks with respect to accounts receivable and other receivables, the Company performs ongoing credit evaluations of customers’ and suppliers’ financial condition. There is no significant credit risk for the six months ended June 30, 2025 and 2026.</w:t>
      </w:r>
    </w:p>
    <w:p>
      <w:pPr>
        <w:pStyle w:val="TextBody"/>
        <w:bidi w:val="0"/>
        <w:jc w:val="both"/>
        <w:rPr>
          <w:caps w:val="false"/>
          <w:smallCaps w:val="false"/>
        </w:rPr>
      </w:pPr>
      <w:bookmarkStart w:id="356" w:name="xdx_84A_ecustom--ConcentrationOfCustomer"/>
      <w:bookmarkEnd w:id="356"/>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200"/>
        <w:gridCol w:w="35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sz w:val="20"/>
              </w:rPr>
            </w:pPr>
            <w:r>
              <w:rPr>
                <w:b/>
                <w:sz w:val="20"/>
              </w:rPr>
              <w:t>(f)</w:t>
            </w:r>
          </w:p>
        </w:tc>
        <w:tc>
          <w:tcPr>
            <w:tcW w:w="3530" w:type="dxa"/>
            <w:tcBorders/>
            <w:vAlign w:val="center"/>
          </w:tcPr>
          <w:p>
            <w:pPr>
              <w:pStyle w:val="TableContents"/>
              <w:bidi w:val="0"/>
              <w:spacing w:before="0" w:after="283"/>
              <w:jc w:val="left"/>
              <w:rPr>
                <w:b/>
                <w:sz w:val="20"/>
              </w:rPr>
            </w:pPr>
            <w:bookmarkStart w:id="357" w:name="xdx_866_z1QqUrLf5TPf"/>
            <w:bookmarkEnd w:id="357"/>
            <w:r>
              <w:rPr>
                <w:b/>
                <w:sz w:val="20"/>
              </w:rPr>
              <w:t>Concentration of customers and suppliers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customers whose revenues individually represented greater than 10% of the total revenues of the Company for the six months ended June 30, 2025 and 2026 were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8" w:name="xdx_891_eus-gaap--SchedulesOfConcentrati"/>
      <w:bookmarkStart w:id="359" w:name="xdx_891_eus-gaap--SchedulesOfConcentrati"/>
      <w:bookmarkEnd w:id="359"/>
    </w:p>
    <w:tbl>
      <w:tblPr>
        <w:tblW w:w="8694" w:type="dxa"/>
        <w:jc w:val="left"/>
        <w:tblInd w:w="0" w:type="dxa"/>
        <w:tblLayout w:type="fixed"/>
        <w:tblCellMar>
          <w:top w:w="0" w:type="dxa"/>
          <w:left w:w="0" w:type="dxa"/>
          <w:bottom w:w="0" w:type="dxa"/>
          <w:right w:w="0" w:type="dxa"/>
        </w:tblCellMar>
      </w:tblPr>
      <w:tblGrid>
        <w:gridCol w:w="5120"/>
        <w:gridCol w:w="60"/>
        <w:gridCol w:w="184"/>
        <w:gridCol w:w="798"/>
        <w:gridCol w:w="660"/>
        <w:gridCol w:w="184"/>
        <w:gridCol w:w="184"/>
        <w:gridCol w:w="798"/>
        <w:gridCol w:w="706"/>
      </w:tblGrid>
      <w:tr>
        <w:trPr/>
        <w:tc>
          <w:tcPr>
            <w:tcW w:w="5120" w:type="dxa"/>
            <w:tcBorders/>
            <w:shd w:fill="FFFFFF" w:val="clear"/>
            <w:vAlign w:val="center"/>
          </w:tcPr>
          <w:p>
            <w:pPr>
              <w:pStyle w:val="TableContents"/>
              <w:bidi w:val="0"/>
              <w:spacing w:before="0" w:after="283"/>
              <w:ind w:left="0" w:right="0" w:hanging="200"/>
              <w:jc w:val="left"/>
              <w:rPr/>
            </w:pPr>
            <w:bookmarkStart w:id="360" w:name="xdx_8B4_zkkyJVja1d6k"/>
            <w:bookmarkEnd w:id="360"/>
            <w:r>
              <w:rPr/>
              <w:t>Schedule of Concentration of customers and suppliers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6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706" w:type="dxa"/>
            <w:tcBorders/>
            <w:shd w:fill="FFFFFF" w:val="clear"/>
            <w:vAlign w:val="center"/>
          </w:tcPr>
          <w:p>
            <w:pPr>
              <w:pStyle w:val="TableContents"/>
              <w:bidi w:val="0"/>
              <w:spacing w:before="0" w:after="283"/>
              <w:ind w:left="0" w:right="0" w:hanging="200"/>
              <w:jc w:val="left"/>
              <w:rPr/>
            </w:pPr>
            <w:r>
              <w:rPr/>
              <w:t> </w:t>
            </w:r>
          </w:p>
        </w:tc>
      </w:tr>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4"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w:t>
            </w:r>
          </w:p>
        </w:tc>
      </w:tr>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4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4" w:type="dxa"/>
            <w:tcBorders/>
            <w:vAlign w:val="center"/>
          </w:tcPr>
          <w:p>
            <w:pPr>
              <w:pStyle w:val="TableContents"/>
              <w:bidi w:val="0"/>
              <w:spacing w:before="0" w:after="283"/>
              <w:jc w:val="left"/>
              <w:rPr/>
            </w:pPr>
            <w:r>
              <w:rPr/>
              <w:t> </w:t>
            </w:r>
          </w:p>
        </w:tc>
        <w:tc>
          <w:tcPr>
            <w:tcW w:w="168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2026</w:t>
            </w:r>
          </w:p>
        </w:tc>
      </w:tr>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4" w:type="dxa"/>
            <w:gridSpan w:val="7"/>
            <w:tcBorders/>
            <w:vAlign w:val="center"/>
          </w:tcPr>
          <w:p>
            <w:pPr>
              <w:pStyle w:val="TableContents"/>
              <w:bidi w:val="0"/>
              <w:spacing w:before="0" w:after="283"/>
              <w:ind w:left="0" w:right="0" w:hanging="200"/>
              <w:jc w:val="center"/>
              <w:rPr>
                <w:b/>
              </w:rPr>
            </w:pPr>
            <w:r>
              <w:rPr>
                <w:b/>
              </w:rPr>
              <w:t>(Unaudited)</w:t>
            </w:r>
          </w:p>
        </w:tc>
      </w:tr>
      <w:tr>
        <w:trPr/>
        <w:tc>
          <w:tcPr>
            <w:tcW w:w="5120" w:type="dxa"/>
            <w:tcBorders/>
            <w:shd w:fill="CCEEFF" w:val="clear"/>
            <w:vAlign w:val="center"/>
          </w:tcPr>
          <w:p>
            <w:pPr>
              <w:pStyle w:val="TableContents"/>
              <w:bidi w:val="0"/>
              <w:spacing w:before="0" w:after="283"/>
              <w:jc w:val="left"/>
              <w:rPr/>
            </w:pPr>
            <w:r>
              <w:rPr/>
              <w:t>Percentage of the Company’s total revenue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6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706" w:type="dxa"/>
            <w:tcBorders/>
            <w:shd w:fill="CCEEFF" w:val="clear"/>
            <w:vAlign w:val="center"/>
          </w:tcPr>
          <w:p>
            <w:pPr>
              <w:pStyle w:val="TableContents"/>
              <w:bidi w:val="0"/>
              <w:spacing w:before="0" w:after="283"/>
              <w:ind w:left="0" w:right="0" w:hanging="200"/>
              <w:jc w:val="left"/>
              <w:rPr/>
            </w:pPr>
            <w:r>
              <w:rPr/>
              <w:t> </w:t>
            </w:r>
          </w:p>
        </w:tc>
      </w:tr>
      <w:tr>
        <w:trPr/>
        <w:tc>
          <w:tcPr>
            <w:tcW w:w="5120" w:type="dxa"/>
            <w:tcBorders/>
            <w:shd w:fill="FFFFFF" w:val="clear"/>
            <w:vAlign w:val="center"/>
          </w:tcPr>
          <w:p>
            <w:pPr>
              <w:pStyle w:val="TableContents"/>
              <w:bidi w:val="0"/>
              <w:spacing w:before="0" w:after="283"/>
              <w:jc w:val="left"/>
              <w:rPr/>
            </w:pPr>
            <w:r>
              <w:rPr/>
              <w:t>Customer A</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bookmarkStart w:id="361" w:name="xdx_90A_eus-gaap--ConcentrationRiskPerce"/>
            <w:bookmarkEnd w:id="361"/>
            <w:r>
              <w:rPr/>
              <w:t>39</w:t>
            </w:r>
          </w:p>
        </w:tc>
        <w:tc>
          <w:tcPr>
            <w:tcW w:w="660" w:type="dxa"/>
            <w:tcBorders/>
            <w:shd w:fill="FFFFFF" w:val="clear"/>
            <w:vAlign w:val="center"/>
          </w:tcPr>
          <w:p>
            <w:pPr>
              <w:pStyle w:val="TableContents"/>
              <w:bidi w:val="0"/>
              <w:spacing w:before="0" w:after="283"/>
              <w:jc w:val="left"/>
              <w:rPr/>
            </w:pPr>
            <w:r>
              <w:rPr/>
              <w:t>%</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bookmarkStart w:id="362" w:name="xdx_90C_eus-gaap--ConcentrationRiskPerce"/>
            <w:bookmarkEnd w:id="362"/>
            <w:r>
              <w:rPr/>
              <w:t>28</w:t>
            </w:r>
          </w:p>
        </w:tc>
        <w:tc>
          <w:tcPr>
            <w:tcW w:w="706" w:type="dxa"/>
            <w:tcBorders/>
            <w:shd w:fill="FFFFFF" w:val="clear"/>
            <w:vAlign w:val="center"/>
          </w:tcPr>
          <w:p>
            <w:pPr>
              <w:pStyle w:val="TableContents"/>
              <w:bidi w:val="0"/>
              <w:spacing w:before="0" w:after="283"/>
              <w:ind w:left="0" w:right="0" w:hanging="200"/>
              <w:jc w:val="left"/>
              <w:rPr/>
            </w:pPr>
            <w:r>
              <w:rPr/>
              <w:t>%</w:t>
            </w:r>
          </w:p>
        </w:tc>
      </w:tr>
      <w:tr>
        <w:trPr/>
        <w:tc>
          <w:tcPr>
            <w:tcW w:w="5120"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bookmarkStart w:id="363" w:name="xdx_90F_eus-gaap--ConcentrationRiskPerce"/>
            <w:bookmarkEnd w:id="363"/>
            <w:r>
              <w:rPr/>
              <w:t>17</w:t>
            </w:r>
          </w:p>
        </w:tc>
        <w:tc>
          <w:tcPr>
            <w:tcW w:w="660" w:type="dxa"/>
            <w:tcBorders/>
            <w:shd w:fill="CCEEFF" w:val="clear"/>
            <w:vAlign w:val="center"/>
          </w:tcPr>
          <w:p>
            <w:pPr>
              <w:pStyle w:val="TableContents"/>
              <w:bidi w:val="0"/>
              <w:spacing w:before="0" w:after="283"/>
              <w:jc w:val="left"/>
              <w:rPr/>
            </w:pPr>
            <w:r>
              <w:rPr/>
              <w:t>%</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sz w:val="20"/>
              </w:rPr>
            </w:pPr>
            <w:r>
              <w:rPr>
                <w:sz w:val="20"/>
              </w:rPr>
              <w:t>*</w:t>
            </w:r>
          </w:p>
        </w:tc>
        <w:tc>
          <w:tcPr>
            <w:tcW w:w="706" w:type="dxa"/>
            <w:tcBorders/>
            <w:shd w:fill="CCEEFF" w:val="clear"/>
            <w:vAlign w:val="center"/>
          </w:tcPr>
          <w:p>
            <w:pPr>
              <w:pStyle w:val="TableContents"/>
              <w:bidi w:val="0"/>
              <w:spacing w:before="0" w:after="283"/>
              <w:ind w:left="0" w:right="0" w:hanging="200"/>
              <w:jc w:val="left"/>
              <w:rPr/>
            </w:pPr>
            <w:r>
              <w:rPr/>
              <w:t> </w:t>
            </w:r>
          </w:p>
        </w:tc>
      </w:tr>
      <w:tr>
        <w:trPr/>
        <w:tc>
          <w:tcPr>
            <w:tcW w:w="5120" w:type="dxa"/>
            <w:tcBorders/>
            <w:shd w:fill="FFFFFF" w:val="clear"/>
            <w:vAlign w:val="center"/>
          </w:tcPr>
          <w:p>
            <w:pPr>
              <w:pStyle w:val="TableContents"/>
              <w:bidi w:val="0"/>
              <w:spacing w:before="0" w:after="283"/>
              <w:jc w:val="left"/>
              <w:rPr/>
            </w:pPr>
            <w:r>
              <w:rPr/>
              <w:t>Customer D</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bookmarkStart w:id="364" w:name="xdx_90F_eus-gaap--ConcentrationRiskPerce"/>
            <w:bookmarkEnd w:id="364"/>
            <w:r>
              <w:rPr/>
              <w:t>12</w:t>
            </w:r>
          </w:p>
        </w:tc>
        <w:tc>
          <w:tcPr>
            <w:tcW w:w="660" w:type="dxa"/>
            <w:tcBorders/>
            <w:shd w:fill="FFFFFF" w:val="clear"/>
            <w:vAlign w:val="center"/>
          </w:tcPr>
          <w:p>
            <w:pPr>
              <w:pStyle w:val="TableContents"/>
              <w:bidi w:val="0"/>
              <w:spacing w:before="0" w:after="283"/>
              <w:jc w:val="left"/>
              <w:rPr/>
            </w:pPr>
            <w:r>
              <w:rPr/>
              <w:t>%</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bookmarkStart w:id="365" w:name="xdx_90B_eus-gaap--ConcentrationRiskPerce"/>
            <w:bookmarkEnd w:id="365"/>
            <w:r>
              <w:rPr/>
              <w:t>19</w:t>
            </w:r>
          </w:p>
        </w:tc>
        <w:tc>
          <w:tcPr>
            <w:tcW w:w="706" w:type="dxa"/>
            <w:tcBorders/>
            <w:shd w:fill="FFFF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percentage less than 10%.</w:t>
      </w:r>
    </w:p>
    <w:p>
      <w:pPr>
        <w:pStyle w:val="TextBody"/>
        <w:bidi w:val="0"/>
        <w:jc w:val="both"/>
        <w:rPr>
          <w:caps w:val="false"/>
          <w:smallCaps w:val="false"/>
        </w:rPr>
      </w:pPr>
      <w:r>
        <w:rPr>
          <w:caps w:val="false"/>
          <w:smallCaps w:val="false"/>
        </w:rPr>
        <w:t> </w:t>
      </w:r>
    </w:p>
    <w:p>
      <w:pPr>
        <w:pStyle w:val="TextBody"/>
        <w:bidi w:val="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due from those customers were as follows:</w:t>
      </w:r>
    </w:p>
    <w:p>
      <w:pPr>
        <w:pStyle w:val="TextBody"/>
        <w:bidi w:val="0"/>
        <w:ind w:left="142" w:right="0" w:hanging="0"/>
        <w:jc w:val="both"/>
        <w:rPr>
          <w:caps w:val="false"/>
          <w:smallCaps w:val="false"/>
        </w:rPr>
      </w:pPr>
      <w:r>
        <w:rPr>
          <w:caps w:val="false"/>
          <w:smallCaps w:val="false"/>
        </w:rPr>
        <w:t> </w:t>
      </w:r>
    </w:p>
    <w:tbl>
      <w:tblPr>
        <w:tblW w:w="8323" w:type="dxa"/>
        <w:jc w:val="left"/>
        <w:tblInd w:w="0" w:type="dxa"/>
        <w:tblLayout w:type="fixed"/>
        <w:tblCellMar>
          <w:top w:w="0" w:type="dxa"/>
          <w:left w:w="0" w:type="dxa"/>
          <w:bottom w:w="0" w:type="dxa"/>
          <w:right w:w="0" w:type="dxa"/>
        </w:tblCellMar>
      </w:tblPr>
      <w:tblGrid>
        <w:gridCol w:w="4820"/>
        <w:gridCol w:w="60"/>
        <w:gridCol w:w="218"/>
        <w:gridCol w:w="948"/>
        <w:gridCol w:w="787"/>
        <w:gridCol w:w="60"/>
        <w:gridCol w:w="156"/>
        <w:gridCol w:w="676"/>
        <w:gridCol w:w="598"/>
      </w:tblGrid>
      <w:tr>
        <w:trPr/>
        <w:tc>
          <w:tcPr>
            <w:tcW w:w="482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443"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4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43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4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0" w:type="dxa"/>
            <w:gridSpan w:val="3"/>
            <w:tcBorders/>
            <w:vAlign w:val="center"/>
          </w:tcPr>
          <w:p>
            <w:pPr>
              <w:pStyle w:val="TableContents"/>
              <w:bidi w:val="0"/>
              <w:spacing w:before="0" w:after="283"/>
              <w:ind w:left="0" w:right="0" w:hanging="200"/>
              <w:jc w:val="center"/>
              <w:rPr>
                <w:b/>
              </w:rPr>
            </w:pPr>
            <w:r>
              <w:rPr>
                <w:b/>
              </w:rPr>
              <w:t>(Unaudited)</w:t>
            </w:r>
          </w:p>
        </w:tc>
      </w:tr>
      <w:tr>
        <w:trPr/>
        <w:tc>
          <w:tcPr>
            <w:tcW w:w="4820" w:type="dxa"/>
            <w:tcBorders/>
            <w:shd w:fill="CCEEFF" w:val="clear"/>
            <w:vAlign w:val="center"/>
          </w:tcPr>
          <w:p>
            <w:pPr>
              <w:pStyle w:val="TableContents"/>
              <w:bidi w:val="0"/>
              <w:spacing w:before="0" w:after="283"/>
              <w:jc w:val="left"/>
              <w:rPr/>
            </w:pPr>
            <w:r>
              <w:rPr/>
              <w:t>Percentage of the Company’s accounts receivables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7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 </w:t>
            </w:r>
          </w:p>
        </w:tc>
        <w:tc>
          <w:tcPr>
            <w:tcW w:w="598" w:type="dxa"/>
            <w:tcBorders/>
            <w:shd w:fill="CCEEFF" w:val="clear"/>
            <w:vAlign w:val="center"/>
          </w:tcPr>
          <w:p>
            <w:pPr>
              <w:pStyle w:val="TableContents"/>
              <w:bidi w:val="0"/>
              <w:spacing w:before="0" w:after="283"/>
              <w:ind w:left="0" w:right="0" w:hanging="200"/>
              <w:jc w:val="left"/>
              <w:rPr/>
            </w:pPr>
            <w:r>
              <w:rPr/>
              <w:t> </w:t>
            </w:r>
          </w:p>
        </w:tc>
      </w:tr>
      <w:tr>
        <w:trPr/>
        <w:tc>
          <w:tcPr>
            <w:tcW w:w="4820"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bookmarkStart w:id="366" w:name="xdx_906_eus-gaap--ConcentrationRiskPerce"/>
            <w:bookmarkEnd w:id="366"/>
            <w:r>
              <w:rPr/>
              <w:t>23</w:t>
            </w:r>
          </w:p>
        </w:tc>
        <w:tc>
          <w:tcPr>
            <w:tcW w:w="78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 </w:t>
            </w:r>
            <w:r>
              <w:rPr>
                <w:sz w:val="20"/>
              </w:rPr>
              <w:t>*</w:t>
            </w:r>
          </w:p>
        </w:tc>
        <w:tc>
          <w:tcPr>
            <w:tcW w:w="598" w:type="dxa"/>
            <w:tcBorders/>
            <w:shd w:fill="FFFFFF" w:val="clear"/>
            <w:vAlign w:val="center"/>
          </w:tcPr>
          <w:p>
            <w:pPr>
              <w:pStyle w:val="TableContents"/>
              <w:bidi w:val="0"/>
              <w:spacing w:before="0" w:after="283"/>
              <w:ind w:left="0" w:right="0" w:hanging="200"/>
              <w:jc w:val="left"/>
              <w:rPr/>
            </w:pPr>
            <w:r>
              <w:rPr/>
              <w:t> </w:t>
            </w:r>
          </w:p>
        </w:tc>
      </w:tr>
      <w:tr>
        <w:trPr/>
        <w:tc>
          <w:tcPr>
            <w:tcW w:w="4820"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bookmarkStart w:id="367" w:name="xdx_90D_eus-gaap--ConcentrationRiskPerce"/>
            <w:bookmarkEnd w:id="367"/>
            <w:r>
              <w:rPr/>
              <w:t>22</w:t>
            </w:r>
          </w:p>
        </w:tc>
        <w:tc>
          <w:tcPr>
            <w:tcW w:w="78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bookmarkStart w:id="368" w:name="xdx_901_eus-gaap--ConcentrationRiskPerce"/>
            <w:bookmarkEnd w:id="368"/>
            <w:r>
              <w:rPr/>
              <w:t>15</w:t>
            </w:r>
          </w:p>
        </w:tc>
        <w:tc>
          <w:tcPr>
            <w:tcW w:w="598" w:type="dxa"/>
            <w:tcBorders/>
            <w:shd w:fill="CCEEFF" w:val="clear"/>
            <w:vAlign w:val="center"/>
          </w:tcPr>
          <w:p>
            <w:pPr>
              <w:pStyle w:val="TableContents"/>
              <w:bidi w:val="0"/>
              <w:spacing w:before="0" w:after="283"/>
              <w:ind w:left="0" w:right="0" w:hanging="200"/>
              <w:jc w:val="left"/>
              <w:rPr/>
            </w:pPr>
            <w:r>
              <w:rPr/>
              <w:t>%</w:t>
            </w:r>
          </w:p>
        </w:tc>
      </w:tr>
      <w:tr>
        <w:trPr/>
        <w:tc>
          <w:tcPr>
            <w:tcW w:w="4820" w:type="dxa"/>
            <w:tcBorders/>
            <w:shd w:fill="FFFFFF" w:val="clear"/>
            <w:vAlign w:val="center"/>
          </w:tcPr>
          <w:p>
            <w:pPr>
              <w:pStyle w:val="TableContents"/>
              <w:bidi w:val="0"/>
              <w:spacing w:before="0" w:after="283"/>
              <w:jc w:val="left"/>
              <w:rPr/>
            </w:pPr>
            <w:r>
              <w:rPr/>
              <w:t>Customer D</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bookmarkStart w:id="369" w:name="xdx_900_eus-gaap--ConcentrationRiskPerce"/>
            <w:bookmarkEnd w:id="369"/>
            <w:r>
              <w:rPr/>
              <w:t>19</w:t>
            </w:r>
          </w:p>
        </w:tc>
        <w:tc>
          <w:tcPr>
            <w:tcW w:w="78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bookmarkStart w:id="370" w:name="xdx_90B_eus-gaap--ConcentrationRiskPerce"/>
            <w:bookmarkEnd w:id="370"/>
            <w:r>
              <w:rPr/>
              <w:t>25</w:t>
            </w:r>
          </w:p>
        </w:tc>
        <w:tc>
          <w:tcPr>
            <w:tcW w:w="598" w:type="dxa"/>
            <w:tcBorders/>
            <w:shd w:fill="FFFFFF" w:val="clear"/>
            <w:vAlign w:val="center"/>
          </w:tcPr>
          <w:p>
            <w:pPr>
              <w:pStyle w:val="TableContents"/>
              <w:bidi w:val="0"/>
              <w:spacing w:before="0" w:after="283"/>
              <w:ind w:left="0" w:right="0" w:hanging="200"/>
              <w:jc w:val="left"/>
              <w:rPr/>
            </w:pPr>
            <w:r>
              <w:rPr/>
              <w:t>%</w:t>
            </w:r>
          </w:p>
        </w:tc>
      </w:tr>
      <w:tr>
        <w:trPr/>
        <w:tc>
          <w:tcPr>
            <w:tcW w:w="4820" w:type="dxa"/>
            <w:tcBorders/>
            <w:shd w:fill="CCEEFF" w:val="clear"/>
            <w:vAlign w:val="center"/>
          </w:tcPr>
          <w:p>
            <w:pPr>
              <w:pStyle w:val="TableContents"/>
              <w:bidi w:val="0"/>
              <w:spacing w:before="0" w:after="283"/>
              <w:jc w:val="left"/>
              <w:rPr/>
            </w:pPr>
            <w:r>
              <w:rPr/>
              <w:t>Customer 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bookmarkStart w:id="371" w:name="xdx_906_eus-gaap--ConcentrationRiskPerce"/>
            <w:bookmarkEnd w:id="371"/>
            <w:r>
              <w:rPr/>
              <w:t>13</w:t>
            </w:r>
          </w:p>
        </w:tc>
        <w:tc>
          <w:tcPr>
            <w:tcW w:w="78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bookmarkStart w:id="372" w:name="xdx_905_eus-gaap--ConcentrationRiskPerce"/>
            <w:bookmarkEnd w:id="372"/>
            <w:r>
              <w:rPr/>
              <w:t>12</w:t>
            </w:r>
          </w:p>
        </w:tc>
        <w:tc>
          <w:tcPr>
            <w:tcW w:w="598" w:type="dxa"/>
            <w:tcBorders/>
            <w:shd w:fill="CCEEFF" w:val="clear"/>
            <w:vAlign w:val="center"/>
          </w:tcPr>
          <w:p>
            <w:pPr>
              <w:pStyle w:val="TableContents"/>
              <w:bidi w:val="0"/>
              <w:spacing w:before="0" w:after="283"/>
              <w:jc w:val="left"/>
              <w:rPr/>
            </w:pPr>
            <w:r>
              <w:rPr/>
              <w:t>%</w:t>
            </w:r>
          </w:p>
        </w:tc>
      </w:tr>
    </w:tbl>
    <w:p>
      <w:pPr>
        <w:pStyle w:val="TextBody"/>
        <w:bidi w:val="0"/>
        <w:ind w:left="142" w:right="0" w:hanging="0"/>
        <w:jc w:val="both"/>
        <w:rPr>
          <w:caps w:val="false"/>
          <w:smallCaps w:val="false"/>
        </w:rPr>
      </w:pPr>
      <w:r>
        <w:rPr>
          <w:caps w:val="false"/>
          <w:smallCaps w:val="false"/>
        </w:rPr>
        <w:t> </w:t>
      </w:r>
    </w:p>
    <w:p>
      <w:pPr>
        <w:pStyle w:val="TextBody"/>
        <w:bidi w:val="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percentage less than 10%.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suppliers whose purchase individually represented greater than 10% of the total cost of revenue of the Company for the six months ended June 30, 2025 and 2026 were as follows:</w:t>
      </w:r>
    </w:p>
    <w:p>
      <w:pPr>
        <w:pStyle w:val="TextBody"/>
        <w:bidi w:val="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4190"/>
        <w:gridCol w:w="60"/>
        <w:gridCol w:w="246"/>
        <w:gridCol w:w="1068"/>
        <w:gridCol w:w="883"/>
        <w:gridCol w:w="246"/>
        <w:gridCol w:w="246"/>
        <w:gridCol w:w="513"/>
        <w:gridCol w:w="308"/>
      </w:tblGrid>
      <w:tr>
        <w:trPr/>
        <w:tc>
          <w:tcPr>
            <w:tcW w:w="419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510"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w:t>
            </w:r>
          </w:p>
        </w:tc>
      </w:tr>
      <w:tr>
        <w:trPr/>
        <w:tc>
          <w:tcPr>
            <w:tcW w:w="4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9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46" w:type="dxa"/>
            <w:tcBorders/>
            <w:vAlign w:val="center"/>
          </w:tcPr>
          <w:p>
            <w:pPr>
              <w:pStyle w:val="TableContents"/>
              <w:bidi w:val="0"/>
              <w:spacing w:before="0" w:after="283"/>
              <w:jc w:val="left"/>
              <w:rPr/>
            </w:pPr>
            <w:r>
              <w:rPr/>
              <w:t> </w:t>
            </w:r>
          </w:p>
        </w:tc>
        <w:tc>
          <w:tcPr>
            <w:tcW w:w="1067"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2026</w:t>
            </w:r>
          </w:p>
        </w:tc>
      </w:tr>
      <w:tr>
        <w:trPr/>
        <w:tc>
          <w:tcPr>
            <w:tcW w:w="4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0" w:type="dxa"/>
            <w:gridSpan w:val="7"/>
            <w:tcBorders/>
            <w:vAlign w:val="center"/>
          </w:tcPr>
          <w:p>
            <w:pPr>
              <w:pStyle w:val="TableContents"/>
              <w:bidi w:val="0"/>
              <w:spacing w:before="0" w:after="283"/>
              <w:ind w:left="0" w:right="0" w:hanging="200"/>
              <w:jc w:val="center"/>
              <w:rPr>
                <w:b/>
              </w:rPr>
            </w:pPr>
            <w:r>
              <w:rPr>
                <w:b/>
              </w:rPr>
              <w:t>(Unaudited)</w:t>
            </w:r>
          </w:p>
        </w:tc>
      </w:tr>
      <w:tr>
        <w:trPr/>
        <w:tc>
          <w:tcPr>
            <w:tcW w:w="4190" w:type="dxa"/>
            <w:tcBorders/>
            <w:shd w:fill="CCEEFF" w:val="clear"/>
            <w:vAlign w:val="center"/>
          </w:tcPr>
          <w:p>
            <w:pPr>
              <w:pStyle w:val="TableContents"/>
              <w:bidi w:val="0"/>
              <w:spacing w:before="0" w:after="283"/>
              <w:jc w:val="left"/>
              <w:rPr/>
            </w:pPr>
            <w:r>
              <w:rPr/>
              <w:t>Percentage of the Company’s total purchase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883"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pPr>
            <w:r>
              <w:rPr/>
              <w:t> </w:t>
            </w:r>
          </w:p>
        </w:tc>
        <w:tc>
          <w:tcPr>
            <w:tcW w:w="308" w:type="dxa"/>
            <w:tcBorders/>
            <w:shd w:fill="CCEEFF" w:val="clear"/>
            <w:vAlign w:val="center"/>
          </w:tcPr>
          <w:p>
            <w:pPr>
              <w:pStyle w:val="TableContents"/>
              <w:bidi w:val="0"/>
              <w:spacing w:before="0" w:after="283"/>
              <w:ind w:left="0" w:right="0" w:hanging="200"/>
              <w:jc w:val="left"/>
              <w:rPr/>
            </w:pPr>
            <w:r>
              <w:rPr/>
              <w:t> </w:t>
            </w:r>
          </w:p>
        </w:tc>
      </w:tr>
      <w:tr>
        <w:trPr/>
        <w:tc>
          <w:tcPr>
            <w:tcW w:w="4190" w:type="dxa"/>
            <w:tcBorders/>
            <w:shd w:fill="FFFFFF" w:val="clear"/>
            <w:vAlign w:val="center"/>
          </w:tcPr>
          <w:p>
            <w:pPr>
              <w:pStyle w:val="TableContents"/>
              <w:bidi w:val="0"/>
              <w:spacing w:before="0" w:after="283"/>
              <w:jc w:val="left"/>
              <w:rPr/>
            </w:pPr>
            <w:r>
              <w:rPr/>
              <w:t>Supplier A</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bookmarkStart w:id="373" w:name="xdx_908_eus-gaap--ConcentrationRiskPerce"/>
            <w:bookmarkEnd w:id="373"/>
            <w:r>
              <w:rPr/>
              <w:t>13</w:t>
            </w:r>
          </w:p>
        </w:tc>
        <w:tc>
          <w:tcPr>
            <w:tcW w:w="883" w:type="dxa"/>
            <w:tcBorders/>
            <w:shd w:fill="FFFFFF" w:val="clear"/>
            <w:vAlign w:val="center"/>
          </w:tcPr>
          <w:p>
            <w:pPr>
              <w:pStyle w:val="TableContents"/>
              <w:bidi w:val="0"/>
              <w:spacing w:before="0" w:after="283"/>
              <w:jc w:val="left"/>
              <w:rPr/>
            </w:pPr>
            <w:r>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sz w:val="20"/>
              </w:rPr>
            </w:pPr>
            <w:r>
              <w:rPr>
                <w:sz w:val="20"/>
              </w:rPr>
              <w:t>*</w:t>
            </w:r>
          </w:p>
        </w:tc>
        <w:tc>
          <w:tcPr>
            <w:tcW w:w="308" w:type="dxa"/>
            <w:tcBorders/>
            <w:shd w:fill="FFFFFF" w:val="clear"/>
            <w:vAlign w:val="center"/>
          </w:tcPr>
          <w:p>
            <w:pPr>
              <w:pStyle w:val="TableContents"/>
              <w:bidi w:val="0"/>
              <w:spacing w:before="0" w:after="283"/>
              <w:jc w:val="left"/>
              <w:rPr/>
            </w:pPr>
            <w:r>
              <w:rPr/>
              <w:t> </w:t>
            </w:r>
          </w:p>
        </w:tc>
      </w:tr>
    </w:tbl>
    <w:p>
      <w:pPr>
        <w:pStyle w:val="TextBody"/>
        <w:bidi w:val="0"/>
        <w:ind w:left="142"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percentage less than 10%.</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F-10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374" w:name="xdx_23C_zEnFcht5MYyc"/>
      <w:bookmarkEnd w:id="374"/>
      <w:r>
        <w:rPr>
          <w:caps w:val="false"/>
          <w:smallCaps w:val="false"/>
        </w:rPr>
        <w:t> </w:t>
      </w:r>
    </w:p>
    <w:p>
      <w:pPr>
        <w:pStyle w:val="TextBody"/>
        <w:bidi w:val="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due to those suppliers were as follows:</w:t>
      </w:r>
    </w:p>
    <w:p>
      <w:pPr>
        <w:pStyle w:val="TextBody"/>
        <w:bidi w:val="0"/>
        <w:ind w:left="142" w:right="0" w:hanging="0"/>
        <w:jc w:val="both"/>
        <w:rPr>
          <w:caps w:val="false"/>
          <w:smallCaps w:val="false"/>
        </w:rPr>
      </w:pPr>
      <w:r>
        <w:rPr>
          <w:caps w:val="false"/>
          <w:smallCaps w:val="false"/>
        </w:rPr>
        <w:t> </w:t>
      </w:r>
    </w:p>
    <w:tbl>
      <w:tblPr>
        <w:tblW w:w="8098" w:type="dxa"/>
        <w:jc w:val="left"/>
        <w:tblInd w:w="0" w:type="dxa"/>
        <w:tblLayout w:type="fixed"/>
        <w:tblCellMar>
          <w:top w:w="0" w:type="dxa"/>
          <w:left w:w="0" w:type="dxa"/>
          <w:bottom w:w="0" w:type="dxa"/>
          <w:right w:w="0" w:type="dxa"/>
        </w:tblCellMar>
      </w:tblPr>
      <w:tblGrid>
        <w:gridCol w:w="4595"/>
        <w:gridCol w:w="60"/>
        <w:gridCol w:w="218"/>
        <w:gridCol w:w="948"/>
        <w:gridCol w:w="787"/>
        <w:gridCol w:w="60"/>
        <w:gridCol w:w="156"/>
        <w:gridCol w:w="676"/>
        <w:gridCol w:w="598"/>
      </w:tblGrid>
      <w:tr>
        <w:trPr/>
        <w:tc>
          <w:tcPr>
            <w:tcW w:w="459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443"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43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0" w:type="dxa"/>
            <w:gridSpan w:val="3"/>
            <w:tcBorders/>
            <w:vAlign w:val="center"/>
          </w:tcPr>
          <w:p>
            <w:pPr>
              <w:pStyle w:val="TableContents"/>
              <w:bidi w:val="0"/>
              <w:spacing w:before="0" w:after="283"/>
              <w:ind w:left="0" w:right="0" w:hanging="200"/>
              <w:jc w:val="center"/>
              <w:rPr>
                <w:b/>
              </w:rPr>
            </w:pPr>
            <w:r>
              <w:rPr>
                <w:b/>
              </w:rPr>
              <w:t>(Unaudited)</w:t>
            </w:r>
          </w:p>
        </w:tc>
      </w:tr>
      <w:tr>
        <w:trPr/>
        <w:tc>
          <w:tcPr>
            <w:tcW w:w="4595" w:type="dxa"/>
            <w:tcBorders/>
            <w:shd w:fill="CCEEFF" w:val="clear"/>
            <w:vAlign w:val="center"/>
          </w:tcPr>
          <w:p>
            <w:pPr>
              <w:pStyle w:val="TableContents"/>
              <w:bidi w:val="0"/>
              <w:spacing w:before="0" w:after="283"/>
              <w:jc w:val="left"/>
              <w:rPr/>
            </w:pPr>
            <w:r>
              <w:rPr/>
              <w:t>Percentage of the Company’s accounts payables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7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 </w:t>
            </w:r>
          </w:p>
        </w:tc>
        <w:tc>
          <w:tcPr>
            <w:tcW w:w="598" w:type="dxa"/>
            <w:tcBorders/>
            <w:shd w:fill="CCEEFF" w:val="clear"/>
            <w:vAlign w:val="center"/>
          </w:tcPr>
          <w:p>
            <w:pPr>
              <w:pStyle w:val="TableContents"/>
              <w:bidi w:val="0"/>
              <w:spacing w:before="0" w:after="283"/>
              <w:ind w:left="0" w:right="0" w:hanging="200"/>
              <w:jc w:val="left"/>
              <w:rPr/>
            </w:pPr>
            <w:r>
              <w:rPr/>
              <w:t> </w:t>
            </w:r>
          </w:p>
        </w:tc>
      </w:tr>
      <w:tr>
        <w:trPr/>
        <w:tc>
          <w:tcPr>
            <w:tcW w:w="4595" w:type="dxa"/>
            <w:tcBorders/>
            <w:shd w:fill="FFFFFF" w:val="clear"/>
            <w:vAlign w:val="center"/>
          </w:tcPr>
          <w:p>
            <w:pPr>
              <w:pStyle w:val="TableContents"/>
              <w:bidi w:val="0"/>
              <w:spacing w:before="0" w:after="283"/>
              <w:jc w:val="left"/>
              <w:rPr/>
            </w:pPr>
            <w:r>
              <w:rPr/>
              <w:t>Supplier A</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bookmarkStart w:id="375" w:name="xdx_90D_eus-gaap--ConcentrationRiskPerce"/>
            <w:bookmarkEnd w:id="375"/>
            <w:r>
              <w:rPr/>
              <w:t>13</w:t>
            </w:r>
          </w:p>
        </w:tc>
        <w:tc>
          <w:tcPr>
            <w:tcW w:w="78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bookmarkStart w:id="376" w:name="xdx_909_eus-gaap--ConcentrationRiskPerce"/>
            <w:bookmarkEnd w:id="376"/>
            <w:r>
              <w:rPr/>
              <w:t>10</w:t>
            </w:r>
          </w:p>
        </w:tc>
        <w:tc>
          <w:tcPr>
            <w:tcW w:w="598" w:type="dxa"/>
            <w:tcBorders/>
            <w:shd w:fill="FFFFFF" w:val="clear"/>
            <w:vAlign w:val="center"/>
          </w:tcPr>
          <w:p>
            <w:pPr>
              <w:pStyle w:val="TableContents"/>
              <w:bidi w:val="0"/>
              <w:spacing w:before="0" w:after="283"/>
              <w:ind w:left="0" w:right="0" w:hanging="200"/>
              <w:jc w:val="left"/>
              <w:rPr/>
            </w:pPr>
            <w:r>
              <w:rPr/>
              <w:t>%</w:t>
            </w:r>
          </w:p>
        </w:tc>
      </w:tr>
      <w:tr>
        <w:trPr/>
        <w:tc>
          <w:tcPr>
            <w:tcW w:w="4595" w:type="dxa"/>
            <w:tcBorders/>
            <w:shd w:fill="CCEEFF" w:val="clear"/>
            <w:vAlign w:val="center"/>
          </w:tcPr>
          <w:p>
            <w:pPr>
              <w:pStyle w:val="TableContents"/>
              <w:bidi w:val="0"/>
              <w:spacing w:before="0" w:after="283"/>
              <w:jc w:val="left"/>
              <w:rPr/>
            </w:pPr>
            <w:r>
              <w:rPr/>
              <w:t>Supplier B</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sz w:val="20"/>
              </w:rPr>
            </w:pPr>
            <w:r>
              <w:rPr>
                <w:sz w:val="20"/>
              </w:rPr>
              <w:t>*</w:t>
            </w:r>
          </w:p>
        </w:tc>
        <w:tc>
          <w:tcPr>
            <w:tcW w:w="7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bookmarkStart w:id="377" w:name="xdx_90F_eus-gaap--ConcentrationRiskPerce"/>
            <w:bookmarkEnd w:id="377"/>
            <w:r>
              <w:rPr/>
              <w:t>14</w:t>
            </w:r>
          </w:p>
        </w:tc>
        <w:tc>
          <w:tcPr>
            <w:tcW w:w="598" w:type="dxa"/>
            <w:tcBorders/>
            <w:shd w:fill="CCEEFF" w:val="clear"/>
            <w:vAlign w:val="center"/>
          </w:tcPr>
          <w:p>
            <w:pPr>
              <w:pStyle w:val="TableContents"/>
              <w:bidi w:val="0"/>
              <w:spacing w:before="0" w:after="283"/>
              <w:ind w:left="0" w:right="0" w:hanging="200"/>
              <w:jc w:val="left"/>
              <w:rPr/>
            </w:pPr>
            <w:r>
              <w:rPr/>
              <w:t>%</w:t>
            </w:r>
          </w:p>
        </w:tc>
      </w:tr>
      <w:tr>
        <w:trPr/>
        <w:tc>
          <w:tcPr>
            <w:tcW w:w="4595" w:type="dxa"/>
            <w:tcBorders/>
            <w:shd w:fill="FFFFFF" w:val="clear"/>
            <w:vAlign w:val="center"/>
          </w:tcPr>
          <w:p>
            <w:pPr>
              <w:pStyle w:val="TableContents"/>
              <w:bidi w:val="0"/>
              <w:spacing w:before="0" w:after="283"/>
              <w:jc w:val="left"/>
              <w:rPr/>
            </w:pPr>
            <w:r>
              <w:rPr/>
              <w:t>Supplier C</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sz w:val="20"/>
              </w:rPr>
            </w:pPr>
            <w:r>
              <w:rPr>
                <w:sz w:val="20"/>
              </w:rPr>
              <w:t>*</w:t>
            </w:r>
          </w:p>
        </w:tc>
        <w:tc>
          <w:tcPr>
            <w:tcW w:w="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bookmarkStart w:id="378" w:name="xdx_905_eus-gaap--ConcentrationRiskPerce"/>
            <w:bookmarkEnd w:id="378"/>
            <w:r>
              <w:rPr/>
              <w:t>10</w:t>
            </w:r>
          </w:p>
        </w:tc>
        <w:tc>
          <w:tcPr>
            <w:tcW w:w="598" w:type="dxa"/>
            <w:tcBorders/>
            <w:shd w:fill="FFFFFF" w:val="clear"/>
            <w:vAlign w:val="center"/>
          </w:tcPr>
          <w:p>
            <w:pPr>
              <w:pStyle w:val="TableContents"/>
              <w:bidi w:val="0"/>
              <w:spacing w:before="0" w:after="283"/>
              <w:jc w:val="left"/>
              <w:rPr/>
            </w:pPr>
            <w:r>
              <w:rPr/>
              <w:t>%</w:t>
            </w:r>
          </w:p>
        </w:tc>
      </w:tr>
    </w:tbl>
    <w:p>
      <w:pPr>
        <w:pStyle w:val="TextBody"/>
        <w:bidi w:val="0"/>
        <w:ind w:left="142"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percentage less than 10%</w:t>
      </w:r>
    </w:p>
    <w:p>
      <w:pPr>
        <w:pStyle w:val="TextBody"/>
        <w:bidi w:val="0"/>
        <w:jc w:val="both"/>
        <w:rPr>
          <w:caps w:val="false"/>
          <w:smallCaps w:val="false"/>
        </w:rPr>
      </w:pPr>
      <w:bookmarkStart w:id="379" w:name="xdx_8A1_zvB667hiKHbb"/>
      <w:bookmarkEnd w:id="379"/>
      <w:r>
        <w:rPr>
          <w:caps w:val="false"/>
          <w:smallCaps w:val="false"/>
        </w:rPr>
        <w:t> </w:t>
      </w:r>
    </w:p>
    <w:p>
      <w:pPr>
        <w:pStyle w:val="TextBody"/>
        <w:bidi w:val="0"/>
        <w:jc w:val="both"/>
        <w:rPr>
          <w:caps w:val="false"/>
          <w:smallCaps w:val="false"/>
        </w:rPr>
      </w:pPr>
      <w:bookmarkStart w:id="380" w:name="xdx_84B_eus-gaap--FairValueMeasurementPo"/>
      <w:bookmarkEnd w:id="380"/>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245"/>
        <w:gridCol w:w="42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(g)</w:t>
            </w:r>
          </w:p>
        </w:tc>
        <w:tc>
          <w:tcPr>
            <w:tcW w:w="4295" w:type="dxa"/>
            <w:tcBorders/>
            <w:vAlign w:val="center"/>
          </w:tcPr>
          <w:p>
            <w:pPr>
              <w:pStyle w:val="TableContents"/>
              <w:bidi w:val="0"/>
              <w:spacing w:before="0" w:after="283"/>
              <w:jc w:val="left"/>
              <w:rPr>
                <w:b/>
                <w:sz w:val="20"/>
              </w:rPr>
            </w:pPr>
            <w:bookmarkStart w:id="381" w:name="xdx_86E_zKrAtH4wnGSh"/>
            <w:bookmarkEnd w:id="381"/>
            <w:r>
              <w:rPr>
                <w:b/>
                <w:sz w:val="20"/>
              </w:rPr>
              <w:t>Fair value measurement and financial instruments</w:t>
            </w:r>
          </w:p>
        </w:tc>
      </w:tr>
    </w:tbl>
    <w:p>
      <w:pPr>
        <w:pStyle w:val="TextBody"/>
        <w:bidi w:val="0"/>
        <w:ind w:left="105" w:right="0" w:hanging="0"/>
        <w:jc w:val="both"/>
        <w:rPr>
          <w:caps w:val="false"/>
          <w:smallCaps w:val="false"/>
        </w:rPr>
      </w:pPr>
      <w:r>
        <w:rPr>
          <w:caps w:val="false"/>
          <w:smallCaps w:val="false"/>
        </w:rPr>
        <w:t> </w:t>
      </w:r>
    </w:p>
    <w:p>
      <w:pPr>
        <w:pStyle w:val="TextBody"/>
        <w:bidi w:val="0"/>
        <w:ind w:left="10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Under this hierarchy, there are three levels of inputs that may be used to measure fair value: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1 applies to assets or liabilities for which there are quoted prices in active markets for identical assets or liabilities.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3 applies to assets or liabilities for which there are unobservable inputs to the valuation methodology that are significant to the measurement of the fair value of the assets or liabilities.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which category an asset or liability falls within the hierarchy requires significant judgment.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instruments, which consist of cash and cash equivalents, restricted cash, accounts receivable, net, accounts receivable-due from a related party, other receivables-due from related parties, accounts payable, notes payable, short-term bank borrowings and other liabilities approximate their fair values due to the short-term nature of these instruments.</w:t>
      </w:r>
    </w:p>
    <w:p>
      <w:pPr>
        <w:pStyle w:val="TextBody"/>
        <w:bidi w:val="0"/>
        <w:jc w:val="both"/>
        <w:rPr>
          <w:caps w:val="false"/>
          <w:smallCaps w:val="false"/>
        </w:rPr>
      </w:pPr>
      <w:bookmarkStart w:id="382" w:name="xdx_84B_eus-gaap--CashAndCashEquivalents"/>
      <w:bookmarkEnd w:id="382"/>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245"/>
        <w:gridCol w:w="22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(h)</w:t>
            </w:r>
          </w:p>
        </w:tc>
        <w:tc>
          <w:tcPr>
            <w:tcW w:w="2240" w:type="dxa"/>
            <w:tcBorders/>
            <w:vAlign w:val="center"/>
          </w:tcPr>
          <w:p>
            <w:pPr>
              <w:pStyle w:val="TableContents"/>
              <w:bidi w:val="0"/>
              <w:spacing w:before="0" w:after="283"/>
              <w:jc w:val="left"/>
              <w:rPr>
                <w:b/>
                <w:sz w:val="20"/>
              </w:rPr>
            </w:pPr>
            <w:bookmarkStart w:id="383" w:name="xdx_86B_z4U8jlsjg0Xd"/>
            <w:bookmarkEnd w:id="383"/>
            <w:r>
              <w:rPr>
                <w:b/>
                <w:sz w:val="20"/>
              </w:rPr>
              <w:t>Cash and cash equivalents</w:t>
            </w:r>
          </w:p>
        </w:tc>
      </w:tr>
    </w:tbl>
    <w:p>
      <w:pPr>
        <w:pStyle w:val="TextBody"/>
        <w:bidi w:val="0"/>
        <w:ind w:left="105" w:right="0" w:hanging="0"/>
        <w:jc w:val="both"/>
        <w:rPr>
          <w:caps w:val="false"/>
          <w:smallCaps w:val="false"/>
        </w:rPr>
      </w:pPr>
      <w:r>
        <w:rPr>
          <w:caps w:val="false"/>
          <w:smallCaps w:val="false"/>
        </w:rPr>
        <w:t> </w:t>
      </w:r>
    </w:p>
    <w:p>
      <w:pPr>
        <w:pStyle w:val="TextBody"/>
        <w:bidi w:val="0"/>
        <w:ind w:left="10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on hand, cash in bank and short term, highly liquid investments which are unrestricted as to withdrawal and use, and which have maturities of three months or less when purchased and are readily convertible to known amount of cash.</w:t>
      </w:r>
    </w:p>
    <w:p>
      <w:pPr>
        <w:pStyle w:val="TextBody"/>
        <w:bidi w:val="0"/>
        <w:jc w:val="both"/>
        <w:rPr>
          <w:caps w:val="false"/>
          <w:smallCaps w:val="false"/>
        </w:rPr>
      </w:pPr>
      <w:bookmarkStart w:id="384" w:name="xdx_843_eus-gaap--CashAndCashEquivalents"/>
      <w:bookmarkEnd w:id="384"/>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200"/>
        <w:gridCol w:w="13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sz w:val="20"/>
              </w:rPr>
            </w:pPr>
            <w:r>
              <w:rPr>
                <w:b/>
                <w:sz w:val="20"/>
              </w:rPr>
              <w:t>(i)</w:t>
            </w:r>
          </w:p>
        </w:tc>
        <w:tc>
          <w:tcPr>
            <w:tcW w:w="1310" w:type="dxa"/>
            <w:tcBorders/>
            <w:vAlign w:val="center"/>
          </w:tcPr>
          <w:p>
            <w:pPr>
              <w:pStyle w:val="TableContents"/>
              <w:bidi w:val="0"/>
              <w:spacing w:before="0" w:after="283"/>
              <w:jc w:val="left"/>
              <w:rPr>
                <w:b/>
                <w:sz w:val="20"/>
              </w:rPr>
            </w:pPr>
            <w:bookmarkStart w:id="385" w:name="xdx_868_zhw5xdA4XMse"/>
            <w:bookmarkEnd w:id="385"/>
            <w:r>
              <w:rPr>
                <w:b/>
                <w:sz w:val="20"/>
              </w:rPr>
              <w:t>Restricted cash</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are security deposits held in banks for issuance of notes payable for the purchase of materials. Restricted cash is classified as current since all restrictions are within twelve months.</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F-11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386" w:name="xdx_84A_ecustom--ShortTermInvestmentsPol"/>
      <w:bookmarkEnd w:id="386"/>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200"/>
        <w:gridCol w:w="20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sz w:val="20"/>
              </w:rPr>
            </w:pPr>
            <w:r>
              <w:rPr>
                <w:b/>
                <w:sz w:val="20"/>
              </w:rPr>
              <w:t>(j)</w:t>
            </w:r>
          </w:p>
        </w:tc>
        <w:tc>
          <w:tcPr>
            <w:tcW w:w="2000" w:type="dxa"/>
            <w:tcBorders/>
            <w:vAlign w:val="center"/>
          </w:tcPr>
          <w:p>
            <w:pPr>
              <w:pStyle w:val="TableContents"/>
              <w:bidi w:val="0"/>
              <w:spacing w:before="0" w:after="283"/>
              <w:jc w:val="left"/>
              <w:rPr>
                <w:b/>
                <w:sz w:val="20"/>
              </w:rPr>
            </w:pPr>
            <w:bookmarkStart w:id="387" w:name="xdx_869_zFj3Fh69jMP5"/>
            <w:bookmarkEnd w:id="387"/>
            <w:r>
              <w:rPr>
                <w:b/>
                <w:sz w:val="20"/>
              </w:rPr>
              <w:t>Short-term investments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consist of corporate fixed deposit with maturity of six months and fixed deposits pledged as security deposit for notes payable with term of six months.</w:t>
      </w:r>
    </w:p>
    <w:p>
      <w:pPr>
        <w:pStyle w:val="TextBody"/>
        <w:bidi w:val="0"/>
        <w:jc w:val="both"/>
        <w:rPr>
          <w:caps w:val="false"/>
          <w:smallCaps w:val="false"/>
        </w:rPr>
      </w:pPr>
      <w:bookmarkStart w:id="388" w:name="xdx_841_eus-gaap--ReceivablesPolicyTextB"/>
      <w:bookmarkEnd w:id="388"/>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245"/>
        <w:gridCol w:w="20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(k)</w:t>
            </w:r>
          </w:p>
        </w:tc>
        <w:tc>
          <w:tcPr>
            <w:tcW w:w="2075" w:type="dxa"/>
            <w:tcBorders/>
            <w:vAlign w:val="center"/>
          </w:tcPr>
          <w:p>
            <w:pPr>
              <w:pStyle w:val="TableContents"/>
              <w:bidi w:val="0"/>
              <w:spacing w:before="0" w:after="283"/>
              <w:jc w:val="left"/>
              <w:rPr>
                <w:b/>
                <w:sz w:val="20"/>
              </w:rPr>
            </w:pPr>
            <w:bookmarkStart w:id="389" w:name="xdx_867_z1FQL3UtfoNf"/>
            <w:bookmarkEnd w:id="389"/>
            <w:r>
              <w:rPr>
                <w:b/>
                <w:sz w:val="20"/>
              </w:rPr>
              <w:t>Accounts receivable, net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is recognized and carried at original invoiced amount net of provision of credit losses. On January 1, 2023, the Company adopted FASB ASC Topic 326 –” Financial Instruments - Credit losses” (“ASC Topic 326”) which replaces the incurred loss methodology with the current expected credit loss (“CECL”) methodology. The Company adopted ASC Topic 326 using the modified retrospective approach for all in-scope assets. The adoption of ASC Topic 326 on the Company’s unaudited condensed consolidated financial statements was immaterial.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developed a CECL model based on historical experience, the age of the accounts receivable balances, credit quality of its customers, current economic conditions, reasonable and supportable forecasts of future economic conditions, and other factors that may affect its ability to collect from customers. The Company considers historical collection rates, current financial status, macroeconomic factors, and other industry-specific factors when evaluating for current expected credit losses.</w:t>
      </w:r>
    </w:p>
    <w:p>
      <w:pPr>
        <w:pStyle w:val="TextBody"/>
        <w:bidi w:val="0"/>
        <w:jc w:val="both"/>
        <w:rPr>
          <w:caps w:val="false"/>
          <w:smallCaps w:val="false"/>
        </w:rPr>
      </w:pPr>
      <w:bookmarkStart w:id="390" w:name="xdx_845_eus-gaap--InventoryPolicyTextBlo"/>
      <w:bookmarkEnd w:id="390"/>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75"/>
        <w:gridCol w:w="200"/>
        <w:gridCol w:w="13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sz w:val="20"/>
              </w:rPr>
            </w:pPr>
            <w:r>
              <w:rPr>
                <w:b/>
                <w:sz w:val="20"/>
              </w:rPr>
              <w:t>(l)</w:t>
            </w:r>
          </w:p>
        </w:tc>
        <w:tc>
          <w:tcPr>
            <w:tcW w:w="1340" w:type="dxa"/>
            <w:tcBorders/>
            <w:vAlign w:val="center"/>
          </w:tcPr>
          <w:p>
            <w:pPr>
              <w:pStyle w:val="TableContents"/>
              <w:bidi w:val="0"/>
              <w:spacing w:before="0" w:after="283"/>
              <w:jc w:val="left"/>
              <w:rPr>
                <w:b/>
                <w:sz w:val="20"/>
              </w:rPr>
            </w:pPr>
            <w:bookmarkStart w:id="391" w:name="xdx_862_zoYZTpEBbWpd"/>
            <w:bookmarkEnd w:id="391"/>
            <w:r>
              <w:rPr>
                <w:b/>
                <w:sz w:val="20"/>
              </w:rPr>
              <w:t>Inventories, net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realizable value. Cost is principally determined on the weighted average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performs an analysis of inventory to determine obsolete or slow-moving inventory and determine if its cost exceeds the estimated market value. Write-off of potentially obsolete or slow-moving inventory are recorded based on management’s analysis of inventory levels.</w:t>
      </w:r>
    </w:p>
    <w:p>
      <w:pPr>
        <w:pStyle w:val="TextBody"/>
        <w:bidi w:val="0"/>
        <w:jc w:val="both"/>
        <w:rPr>
          <w:caps w:val="false"/>
          <w:smallCaps w:val="false"/>
        </w:rPr>
      </w:pPr>
      <w:bookmarkStart w:id="392" w:name="xdx_84E_eus-gaap--PropertyPlantAndEquipm"/>
      <w:bookmarkEnd w:id="392"/>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305"/>
        <w:gridCol w:w="296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b/>
                <w:sz w:val="20"/>
              </w:rPr>
            </w:pPr>
            <w:r>
              <w:rPr>
                <w:b/>
                <w:sz w:val="20"/>
              </w:rPr>
              <w:t>(m)</w:t>
            </w:r>
          </w:p>
        </w:tc>
        <w:tc>
          <w:tcPr>
            <w:tcW w:w="2960" w:type="dxa"/>
            <w:tcBorders/>
            <w:vAlign w:val="center"/>
          </w:tcPr>
          <w:p>
            <w:pPr>
              <w:pStyle w:val="TableContents"/>
              <w:bidi w:val="0"/>
              <w:spacing w:before="0" w:after="283"/>
              <w:jc w:val="left"/>
              <w:rPr>
                <w:b/>
                <w:sz w:val="20"/>
              </w:rPr>
            </w:pPr>
            <w:bookmarkStart w:id="393" w:name="xdx_863_zD0NLQ63a6Rd"/>
            <w:bookmarkEnd w:id="393"/>
            <w:r>
              <w:rPr>
                <w:b/>
                <w:sz w:val="20"/>
              </w:rPr>
              <w:t>Property, plant and equipment, net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stated at cost including the cost of improvements. Maintenance and repairs are charged to expense as incurred. Depreciation and amortization are provided on the straight-line method based on the estimated useful lives and residual value of the assets as follows:</w:t>
      </w:r>
    </w:p>
    <w:p>
      <w:pPr>
        <w:pStyle w:val="TextBody"/>
        <w:bidi w:val="0"/>
        <w:jc w:val="both"/>
        <w:rPr>
          <w:caps w:val="false"/>
          <w:smallCaps w:val="false"/>
        </w:rPr>
      </w:pPr>
      <w:r>
        <w:rPr>
          <w:caps w:val="false"/>
          <w:smallCaps w:val="false"/>
        </w:rPr>
        <w:t> </w:t>
      </w:r>
    </w:p>
    <w:p>
      <w:pPr>
        <w:pStyle w:val="Normal"/>
        <w:bidi w:val="0"/>
        <w:spacing w:before="0" w:after="0"/>
        <w:ind w:left="105" w:right="0" w:hanging="0"/>
        <w:jc w:val="left"/>
        <w:rPr>
          <w:sz w:val="4"/>
          <w:szCs w:val="4"/>
        </w:rPr>
      </w:pPr>
      <w:r>
        <w:rPr>
          <w:sz w:val="4"/>
          <w:szCs w:val="4"/>
        </w:rPr>
      </w:r>
      <w:bookmarkStart w:id="394" w:name="xdx_895_ecustom--ScheduleOfEstimatedUsef"/>
      <w:bookmarkStart w:id="395" w:name="xdx_895_ecustom--ScheduleOfEstimatedUsef"/>
      <w:bookmarkEnd w:id="395"/>
    </w:p>
    <w:tbl>
      <w:tblPr>
        <w:tblW w:w="8534" w:type="dxa"/>
        <w:jc w:val="left"/>
        <w:tblInd w:w="0" w:type="dxa"/>
        <w:tblLayout w:type="fixed"/>
        <w:tblCellMar>
          <w:top w:w="0" w:type="dxa"/>
          <w:left w:w="0" w:type="dxa"/>
          <w:bottom w:w="0" w:type="dxa"/>
          <w:right w:w="0" w:type="dxa"/>
        </w:tblCellMar>
      </w:tblPr>
      <w:tblGrid>
        <w:gridCol w:w="4475"/>
        <w:gridCol w:w="60"/>
        <w:gridCol w:w="1415"/>
        <w:gridCol w:w="60"/>
        <w:gridCol w:w="274"/>
        <w:gridCol w:w="1193"/>
        <w:gridCol w:w="1057"/>
      </w:tblGrid>
      <w:tr>
        <w:trPr/>
        <w:tc>
          <w:tcPr>
            <w:tcW w:w="4475" w:type="dxa"/>
            <w:tcBorders/>
            <w:shd w:fill="FFFFFF" w:val="clear"/>
            <w:vAlign w:val="center"/>
          </w:tcPr>
          <w:p>
            <w:pPr>
              <w:pStyle w:val="TableContents"/>
              <w:bidi w:val="0"/>
              <w:spacing w:before="0" w:after="283"/>
              <w:ind w:left="0" w:right="0" w:hanging="200"/>
              <w:jc w:val="left"/>
              <w:rPr/>
            </w:pPr>
            <w:bookmarkStart w:id="396" w:name="xdx_8B1_zRomEvx09hN1"/>
            <w:bookmarkEnd w:id="396"/>
            <w:r>
              <w:rPr/>
              <w:t>Schedule of Property, plant and equipment, net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057" w:type="dxa"/>
            <w:tcBorders/>
            <w:shd w:fill="FFFFFF" w:val="clear"/>
            <w:vAlign w:val="center"/>
          </w:tcPr>
          <w:p>
            <w:pPr>
              <w:pStyle w:val="TableContents"/>
              <w:bidi w:val="0"/>
              <w:spacing w:before="0" w:after="283"/>
              <w:ind w:left="0" w:right="0" w:hanging="200"/>
              <w:jc w:val="left"/>
              <w:rPr/>
            </w:pPr>
            <w:r>
              <w:rPr/>
              <w:t> </w:t>
            </w:r>
          </w:p>
        </w:tc>
      </w:tr>
      <w:tr>
        <w:trPr/>
        <w:tc>
          <w:tcPr>
            <w:tcW w:w="4475" w:type="dxa"/>
            <w:tcBorders/>
            <w:vAlign w:val="center"/>
          </w:tcPr>
          <w:p>
            <w:pPr>
              <w:pStyle w:val="TableContents"/>
              <w:bidi w:val="0"/>
              <w:spacing w:before="0" w:after="283"/>
              <w:jc w:val="left"/>
              <w:rPr/>
            </w:pPr>
            <w:r>
              <w:rPr/>
              <w:t>Schedule of Property, plant and equipment, net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4" w:type="dxa"/>
            <w:gridSpan w:val="3"/>
            <w:tcBorders/>
            <w:vAlign w:val="center"/>
          </w:tcPr>
          <w:p>
            <w:pPr>
              <w:pStyle w:val="TableContents"/>
              <w:bidi w:val="0"/>
              <w:spacing w:before="0" w:after="283"/>
              <w:ind w:left="0" w:right="0" w:hanging="200"/>
              <w:jc w:val="center"/>
              <w:rPr/>
            </w:pPr>
            <w:r>
              <w:rPr/>
              <w:t> </w:t>
            </w:r>
          </w:p>
        </w:tc>
      </w:tr>
      <w:tr>
        <w:trPr/>
        <w:tc>
          <w:tcPr>
            <w:tcW w:w="4475" w:type="dxa"/>
            <w:tcBorders>
              <w:bottom w:val="single" w:sz="8" w:space="0" w:color="000000"/>
            </w:tcBorders>
            <w:tcMar>
              <w:bottom w:w="28" w:type="dxa"/>
            </w:tcMar>
            <w:vAlign w:val="center"/>
          </w:tcPr>
          <w:p>
            <w:pPr>
              <w:pStyle w:val="TableContents"/>
              <w:bidi w:val="0"/>
              <w:spacing w:before="0" w:after="283"/>
              <w:jc w:val="center"/>
              <w:rPr>
                <w:b/>
              </w:rPr>
            </w:pPr>
            <w:r>
              <w:rPr>
                <w:b/>
              </w:rPr>
              <w:t>Category</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Useful lives</w:t>
            </w:r>
          </w:p>
        </w:tc>
        <w:tc>
          <w:tcPr>
            <w:tcW w:w="60" w:type="dxa"/>
            <w:tcBorders/>
            <w:vAlign w:val="center"/>
          </w:tcPr>
          <w:p>
            <w:pPr>
              <w:pStyle w:val="TableContents"/>
              <w:bidi w:val="0"/>
              <w:spacing w:before="0" w:after="283"/>
              <w:jc w:val="left"/>
              <w:rPr/>
            </w:pPr>
            <w:r>
              <w:rPr/>
              <w:t> </w:t>
            </w:r>
          </w:p>
        </w:tc>
        <w:tc>
          <w:tcPr>
            <w:tcW w:w="2524"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Estimated residual value</w:t>
            </w:r>
          </w:p>
        </w:tc>
      </w:tr>
      <w:tr>
        <w:trPr/>
        <w:tc>
          <w:tcPr>
            <w:tcW w:w="4475" w:type="dxa"/>
            <w:tcBorders/>
            <w:shd w:fill="CCEEFF" w:val="clear"/>
            <w:vAlign w:val="center"/>
          </w:tcPr>
          <w:p>
            <w:pPr>
              <w:pStyle w:val="TableContents"/>
              <w:bidi w:val="0"/>
              <w:spacing w:before="0" w:after="283"/>
              <w:jc w:val="left"/>
              <w:rPr/>
            </w:pPr>
            <w:r>
              <w:rPr/>
              <w:t>Buildings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397" w:name="xdx_906_eus-gaap--PropertyPlantAndEquipm"/>
            <w:bookmarkEnd w:id="397"/>
            <w:r>
              <w:rPr/>
              <w:t>20 years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bookmarkStart w:id="398" w:name="xdx_905_ecustom--EstimatedResidualValue_"/>
            <w:bookmarkEnd w:id="398"/>
            <w:r>
              <w:rPr/>
              <w:t>5</w:t>
            </w:r>
          </w:p>
        </w:tc>
        <w:tc>
          <w:tcPr>
            <w:tcW w:w="1057" w:type="dxa"/>
            <w:tcBorders/>
            <w:shd w:fill="CCEEFF" w:val="clear"/>
            <w:vAlign w:val="center"/>
          </w:tcPr>
          <w:p>
            <w:pPr>
              <w:pStyle w:val="TableContents"/>
              <w:bidi w:val="0"/>
              <w:spacing w:before="0" w:after="283"/>
              <w:ind w:left="0" w:right="0" w:hanging="200"/>
              <w:jc w:val="left"/>
              <w:rPr/>
            </w:pPr>
            <w:r>
              <w:rPr/>
              <w:t>%</w:t>
            </w:r>
          </w:p>
        </w:tc>
      </w:tr>
      <w:tr>
        <w:trPr/>
        <w:tc>
          <w:tcPr>
            <w:tcW w:w="4475" w:type="dxa"/>
            <w:tcBorders/>
            <w:shd w:fill="FFFFFF" w:val="clear"/>
            <w:vAlign w:val="center"/>
          </w:tcPr>
          <w:p>
            <w:pPr>
              <w:pStyle w:val="TableContents"/>
              <w:bidi w:val="0"/>
              <w:spacing w:before="0" w:after="283"/>
              <w:jc w:val="left"/>
              <w:rPr/>
            </w:pPr>
            <w:r>
              <w:rPr/>
              <w:t>Machinery and equipment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399" w:name="xdx_90F_eus-gaap--PropertyPlantAndEquipm"/>
            <w:bookmarkEnd w:id="399"/>
            <w:r>
              <w:rPr/>
              <w:t>10 years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bookmarkStart w:id="400" w:name="xdx_903_ecustom--EstimatedResidualValue_"/>
            <w:bookmarkEnd w:id="400"/>
            <w:r>
              <w:rPr/>
              <w:t>10</w:t>
            </w:r>
          </w:p>
        </w:tc>
        <w:tc>
          <w:tcPr>
            <w:tcW w:w="1057" w:type="dxa"/>
            <w:tcBorders/>
            <w:shd w:fill="FFFFFF" w:val="clear"/>
            <w:vAlign w:val="center"/>
          </w:tcPr>
          <w:p>
            <w:pPr>
              <w:pStyle w:val="TableContents"/>
              <w:bidi w:val="0"/>
              <w:spacing w:before="0" w:after="283"/>
              <w:ind w:left="0" w:right="0" w:hanging="200"/>
              <w:jc w:val="left"/>
              <w:rPr/>
            </w:pPr>
            <w:r>
              <w:rPr/>
              <w:t>%</w:t>
            </w:r>
          </w:p>
        </w:tc>
      </w:tr>
      <w:tr>
        <w:trPr/>
        <w:tc>
          <w:tcPr>
            <w:tcW w:w="4475"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401" w:name="xdx_909_eus-gaap--PropertyPlantAndEquipm"/>
            <w:bookmarkEnd w:id="401"/>
            <w:r>
              <w:rPr/>
              <w:t>5 years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bookmarkStart w:id="402" w:name="xdx_902_ecustom--EstimatedResidualValue_"/>
            <w:bookmarkEnd w:id="402"/>
            <w:r>
              <w:rPr/>
              <w:t>10</w:t>
            </w:r>
          </w:p>
        </w:tc>
        <w:tc>
          <w:tcPr>
            <w:tcW w:w="1057" w:type="dxa"/>
            <w:tcBorders/>
            <w:shd w:fill="CCEEFF" w:val="clear"/>
            <w:vAlign w:val="center"/>
          </w:tcPr>
          <w:p>
            <w:pPr>
              <w:pStyle w:val="TableContents"/>
              <w:bidi w:val="0"/>
              <w:spacing w:before="0" w:after="283"/>
              <w:ind w:left="0" w:right="0" w:hanging="200"/>
              <w:jc w:val="left"/>
              <w:rPr/>
            </w:pPr>
            <w:r>
              <w:rPr/>
              <w:t>%</w:t>
            </w:r>
          </w:p>
        </w:tc>
      </w:tr>
      <w:tr>
        <w:trPr/>
        <w:tc>
          <w:tcPr>
            <w:tcW w:w="4475"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403" w:name="xdx_90A_eus-gaap--PropertyPlantAndEquipm"/>
            <w:bookmarkEnd w:id="403"/>
            <w:r>
              <w:rPr/>
              <w:t>5 years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bookmarkStart w:id="404" w:name="xdx_90E_ecustom--EstimatedResidualValue_"/>
            <w:bookmarkEnd w:id="404"/>
            <w:r>
              <w:rPr/>
              <w:t>5</w:t>
            </w:r>
          </w:p>
        </w:tc>
        <w:tc>
          <w:tcPr>
            <w:tcW w:w="1057" w:type="dxa"/>
            <w:tcBorders/>
            <w:shd w:fill="FFFFFF" w:val="clear"/>
            <w:vAlign w:val="center"/>
          </w:tcPr>
          <w:p>
            <w:pPr>
              <w:pStyle w:val="TableContents"/>
              <w:bidi w:val="0"/>
              <w:spacing w:before="0" w:after="283"/>
              <w:ind w:left="0" w:right="0" w:hanging="200"/>
              <w:jc w:val="left"/>
              <w:rPr/>
            </w:pPr>
            <w:r>
              <w:rPr/>
              <w:t>%</w:t>
            </w:r>
          </w:p>
        </w:tc>
      </w:tr>
      <w:tr>
        <w:trPr/>
        <w:tc>
          <w:tcPr>
            <w:tcW w:w="4475" w:type="dxa"/>
            <w:tcBorders/>
            <w:shd w:fill="CCEEFF" w:val="clear"/>
            <w:vAlign w:val="center"/>
          </w:tcPr>
          <w:p>
            <w:pPr>
              <w:pStyle w:val="TableContents"/>
              <w:bidi w:val="0"/>
              <w:spacing w:before="0" w:after="283"/>
              <w:jc w:val="left"/>
              <w:rPr/>
            </w:pPr>
            <w:r>
              <w:rPr/>
              <w:t>Electronic office equipment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405" w:name="xdx_90C_eus-gaap--PropertyPlantAndEquipm"/>
            <w:bookmarkEnd w:id="405"/>
            <w:r>
              <w:rPr/>
              <w:t>3 years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bookmarkStart w:id="406" w:name="xdx_90F_ecustom--EstimatedResidualValue_"/>
            <w:bookmarkEnd w:id="406"/>
            <w:r>
              <w:rPr/>
              <w:t>5</w:t>
            </w:r>
          </w:p>
        </w:tc>
        <w:tc>
          <w:tcPr>
            <w:tcW w:w="1057" w:type="dxa"/>
            <w:tcBorders/>
            <w:shd w:fill="CCEEFF" w:val="clear"/>
            <w:vAlign w:val="center"/>
          </w:tcPr>
          <w:p>
            <w:pPr>
              <w:pStyle w:val="TableContents"/>
              <w:bidi w:val="0"/>
              <w:spacing w:before="0" w:after="283"/>
              <w:ind w:left="0" w:right="0" w:hanging="200"/>
              <w:jc w:val="left"/>
              <w:rPr/>
            </w:pPr>
            <w:r>
              <w:rPr/>
              <w:t>%</w:t>
            </w:r>
          </w:p>
        </w:tc>
      </w:tr>
      <w:tr>
        <w:trPr/>
        <w:tc>
          <w:tcPr>
            <w:tcW w:w="447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407" w:name="xdx_90D_eus-gaap--PropertyPlantAndEquipm"/>
            <w:bookmarkEnd w:id="407"/>
            <w:r>
              <w:rPr/>
              <w:t xml:space="preserve">1.5 to </w:t>
            </w:r>
            <w:bookmarkStart w:id="408" w:name="xdx_902_eus-gaap--PropertyPlantAndEquipm"/>
            <w:bookmarkEnd w:id="408"/>
            <w:r>
              <w:rPr/>
              <w:t>10 years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bookmarkStart w:id="409" w:name="xdx_904_ecustom--EstimatedResidualValue_"/>
            <w:bookmarkEnd w:id="409"/>
            <w:r>
              <w:rPr/>
              <w:t>0</w:t>
            </w:r>
          </w:p>
        </w:tc>
        <w:tc>
          <w:tcPr>
            <w:tcW w:w="1057" w:type="dxa"/>
            <w:tcBorders/>
            <w:shd w:fill="FFFFFF" w:val="clear"/>
            <w:vAlign w:val="center"/>
          </w:tcPr>
          <w:p>
            <w:pPr>
              <w:pStyle w:val="TableContents"/>
              <w:bidi w:val="0"/>
              <w:spacing w:before="0" w:after="283"/>
              <w:jc w:val="left"/>
              <w:rPr/>
            </w:pPr>
            <w:r>
              <w:rPr/>
              <w:t>%</w:t>
            </w:r>
          </w:p>
        </w:tc>
      </w:tr>
    </w:tbl>
    <w:p>
      <w:pPr>
        <w:pStyle w:val="TextBody"/>
        <w:bidi w:val="0"/>
        <w:ind w:left="105" w:right="0" w:hanging="0"/>
        <w:jc w:val="both"/>
        <w:rPr>
          <w:caps w:val="false"/>
          <w:smallCaps w:val="false"/>
        </w:rPr>
      </w:pPr>
      <w:bookmarkStart w:id="410" w:name="xdx_8AD_zfwpwQXhWXVi"/>
      <w:bookmarkEnd w:id="410"/>
      <w:r>
        <w:rPr>
          <w:caps w:val="false"/>
          <w:smallCaps w:val="false"/>
        </w:rPr>
        <w:t> </w:t>
      </w:r>
    </w:p>
    <w:p>
      <w:pPr>
        <w:pStyle w:val="TextBody"/>
        <w:bidi w:val="0"/>
        <w:ind w:left="10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improvements are capitalized and depreciated. Construction in progress represents property, plant and equipment under construction or being installed. Costs include original cost, installation, construction and other direct costs. Interest expenses directly related to construction in progress would be capitalized. Construction in progress is transferred to the appropriate fixed asset account and depreciation commences when the asset has been substantially completed and placed in service.</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F-12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11" w:name="xdx_841_ecustom--LongTermInvestmentPolic"/>
      <w:bookmarkStart w:id="412" w:name="xdx_239_zmT8VeCYiqZh"/>
      <w:bookmarkEnd w:id="411"/>
      <w:bookmarkEnd w:id="412"/>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245"/>
        <w:gridCol w:w="19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(n)</w:t>
            </w:r>
          </w:p>
        </w:tc>
        <w:tc>
          <w:tcPr>
            <w:tcW w:w="1955" w:type="dxa"/>
            <w:tcBorders/>
            <w:vAlign w:val="center"/>
          </w:tcPr>
          <w:p>
            <w:pPr>
              <w:pStyle w:val="TableContents"/>
              <w:bidi w:val="0"/>
              <w:spacing w:before="0" w:after="283"/>
              <w:jc w:val="left"/>
              <w:rPr>
                <w:b/>
                <w:sz w:val="20"/>
              </w:rPr>
            </w:pPr>
            <w:bookmarkStart w:id="413" w:name="xdx_86B_zhblnUByqTkd"/>
            <w:bookmarkEnd w:id="413"/>
            <w:r>
              <w:rPr>
                <w:b/>
                <w:sz w:val="20"/>
              </w:rPr>
              <w:t xml:space="preserve">Long-term investment </w:t>
            </w:r>
          </w:p>
        </w:tc>
      </w:tr>
    </w:tbl>
    <w:p>
      <w:pPr>
        <w:pStyle w:val="TextBody"/>
        <w:bidi w:val="0"/>
        <w:ind w:left="105" w:right="0" w:hanging="0"/>
        <w:jc w:val="both"/>
        <w:rPr>
          <w:caps w:val="false"/>
          <w:smallCaps w:val="false"/>
        </w:rPr>
      </w:pPr>
      <w:r>
        <w:rPr>
          <w:caps w:val="false"/>
          <w:smallCaps w:val="false"/>
        </w:rPr>
        <w:t> </w:t>
      </w:r>
    </w:p>
    <w:p>
      <w:pPr>
        <w:pStyle w:val="TextBody"/>
        <w:bidi w:val="0"/>
        <w:ind w:left="10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investments for which the Company has the ability to exercise significant influence are accounted for under the equity method. Under the equity method, the Company initially records its investment at cost. The difference between the cost of the equity investment and the amount of the underlying equity in the net assets of the equity investee is recognized as equity method goodwill or as an intangible asset as appropriate, which is included in the equity method investment on the condensed consolidated balance sheets. The Company subsequently adjusts the carrying amount of the investment to recognize the Company’s proportionate share of each equity investee’s net income or loss into unaudited condensed consolidated statements of income and comprehensive income after the date of acquisition.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 whether an investment is impaired based on performance and financial position of the investee as well as other evidence of market value at each reporting date. Such assessment includes, but is not limited to, reviewing the investee’s cash position, recent financing, as well as the financial and business performance. The Company recognizes an impairment loss equal to the difference between the carrying value and fair value in the unaudited condensed consolidated statements of income and comprehensive income if 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of long-term investments was recognized for the six months ended June 30, 2025 and 2026.</w:t>
      </w:r>
    </w:p>
    <w:p>
      <w:pPr>
        <w:pStyle w:val="TextBody"/>
        <w:bidi w:val="0"/>
        <w:jc w:val="both"/>
        <w:rPr>
          <w:caps w:val="false"/>
          <w:smallCaps w:val="false"/>
        </w:rPr>
      </w:pPr>
      <w:bookmarkStart w:id="414" w:name="xdx_849_eus-gaap--ImpairmentOrDisposalOf"/>
      <w:bookmarkEnd w:id="414"/>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245"/>
        <w:gridCol w:w="26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(o)</w:t>
            </w:r>
          </w:p>
        </w:tc>
        <w:tc>
          <w:tcPr>
            <w:tcW w:w="2690" w:type="dxa"/>
            <w:tcBorders/>
            <w:vAlign w:val="center"/>
          </w:tcPr>
          <w:p>
            <w:pPr>
              <w:pStyle w:val="TableContents"/>
              <w:bidi w:val="0"/>
              <w:spacing w:before="0" w:after="283"/>
              <w:jc w:val="left"/>
              <w:rPr>
                <w:b/>
                <w:sz w:val="20"/>
              </w:rPr>
            </w:pPr>
            <w:bookmarkStart w:id="415" w:name="xdx_86E_zY2IY3PtPp0k"/>
            <w:bookmarkEnd w:id="415"/>
            <w:r>
              <w:rPr>
                <w:b/>
                <w:sz w:val="20"/>
              </w:rPr>
              <w:t>Impairment of long-lived assets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included in impairment evaluations when events and circumstances exist that indicate the carrying value of these assets may not be recoverable. In accordance with ASC No. 360, “Property, Plant and Equipment” and “Real estate properties for lease”, the Company assesses the recoverability of the carrying value of long-lived assets by first grouping its long-lived assets with other assets and liabilities at the lowest level for which identifiable cash flows largely independent of the cash flows of other assets and liabilities (the asset group) and, secondly, estimating the undiscounted future cash flows that are directly associated with and expected to arise from the use of and eventual disposition of such asset group. The Company estimates the undiscounted cash flows over the remaining useful life of the primary asset within the asset group. If the carrying value of the asset group exceeds the estimated undiscounted cash flows, the Company records an impairment charge to the extent the carrying value of the long-lived asset exceeds its fair value. The Company determines fair value through quoted market prices in active markets or, if quotations of market prices are unavailable, through the performance of internal analysis using a discounted cash flow methodology. The undiscounted and discounted cash flow analyses based on a number of estimates and assumptions, including the expected period over which the asset will be utilized, projected future operating results of the asset group, discount rate and long-term growth rate. No impairment of long-lived assets was recognized for the six months ended June 30, 2025 and 2026.</w:t>
      </w:r>
    </w:p>
    <w:p>
      <w:pPr>
        <w:pStyle w:val="TextBody"/>
        <w:bidi w:val="0"/>
        <w:jc w:val="both"/>
        <w:rPr>
          <w:caps w:val="false"/>
          <w:smallCaps w:val="false"/>
        </w:rPr>
      </w:pPr>
      <w:bookmarkStart w:id="416" w:name="xdx_840_ecustom--NotesPayablePolicyTextB"/>
      <w:bookmarkEnd w:id="416"/>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75"/>
        <w:gridCol w:w="245"/>
        <w:gridCol w:w="12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(p)</w:t>
            </w:r>
          </w:p>
        </w:tc>
        <w:tc>
          <w:tcPr>
            <w:tcW w:w="1220" w:type="dxa"/>
            <w:tcBorders/>
            <w:vAlign w:val="center"/>
          </w:tcPr>
          <w:p>
            <w:pPr>
              <w:pStyle w:val="TableContents"/>
              <w:bidi w:val="0"/>
              <w:spacing w:before="0" w:after="283"/>
              <w:jc w:val="left"/>
              <w:rPr>
                <w:b/>
                <w:sz w:val="20"/>
              </w:rPr>
            </w:pPr>
            <w:bookmarkStart w:id="417" w:name="xdx_86B_zl6YUbo9NGQe"/>
            <w:bookmarkEnd w:id="417"/>
            <w:r>
              <w:rPr>
                <w:b/>
                <w:sz w:val="20"/>
              </w:rPr>
              <w:t>Notes payable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represented the amount of bank acceptance notes the Company’s suppliers received from the Company for its purchases of raw materials. These notes were issued by financial institutions, typically by banks, that entitle the Company’s suppliers to receive the face value of notes from the bank or financial institution at maturity. Notes payable are interest-free and have a term of within one year from the date of issuance. Notes payable are recognized at cost, net transaction costs.</w:t>
      </w:r>
    </w:p>
    <w:p>
      <w:pPr>
        <w:pStyle w:val="TextBody"/>
        <w:bidi w:val="0"/>
        <w:jc w:val="both"/>
        <w:rPr>
          <w:caps w:val="false"/>
          <w:smallCaps w:val="false"/>
        </w:rPr>
      </w:pPr>
      <w:bookmarkStart w:id="418" w:name="xdx_847_eus-gaap--LesseeLeasesPolicyText"/>
      <w:bookmarkEnd w:id="418"/>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75"/>
        <w:gridCol w:w="245"/>
        <w:gridCol w:w="6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(q)</w:t>
            </w:r>
          </w:p>
        </w:tc>
        <w:tc>
          <w:tcPr>
            <w:tcW w:w="605" w:type="dxa"/>
            <w:tcBorders/>
            <w:vAlign w:val="center"/>
          </w:tcPr>
          <w:p>
            <w:pPr>
              <w:pStyle w:val="TableContents"/>
              <w:bidi w:val="0"/>
              <w:spacing w:before="0" w:after="283"/>
              <w:jc w:val="left"/>
              <w:rPr>
                <w:b/>
                <w:sz w:val="20"/>
              </w:rPr>
            </w:pPr>
            <w:bookmarkStart w:id="419" w:name="xdx_861_zlrWR9XFIlB9"/>
            <w:bookmarkEnd w:id="419"/>
            <w:r>
              <w:rPr>
                <w:b/>
                <w:sz w:val="20"/>
              </w:rPr>
              <w:t>Leases</w:t>
            </w:r>
          </w:p>
        </w:tc>
      </w:tr>
    </w:tbl>
    <w:p>
      <w:pPr>
        <w:pStyle w:val="TextBody"/>
        <w:bidi w:val="0"/>
        <w:ind w:left="105" w:right="0" w:hanging="0"/>
        <w:jc w:val="both"/>
        <w:rPr>
          <w:caps w:val="false"/>
          <w:smallCaps w:val="false"/>
        </w:rPr>
      </w:pPr>
      <w:r>
        <w:rPr>
          <w:caps w:val="false"/>
          <w:smallCaps w:val="false"/>
        </w:rPr>
        <w:t> </w:t>
      </w:r>
    </w:p>
    <w:p>
      <w:pPr>
        <w:pStyle w:val="TextBody"/>
        <w:bidi w:val="0"/>
        <w:ind w:left="105"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Lessee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do not contain any material residual value guarantees or material restrictive covenants. Effective from January 1, 2020, the Company adopted Accounting Standards Update (“ASU”) 2016-02, Lease (FASB ASC Topic 842) using a modified retrospective transition method which allowed the Company not to recast comparative periods presented in its unaudited condensed consolidated financial statements.</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F-13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20" w:name="xdx_23F_zxH5xrNqiOuh"/>
      <w:bookmarkEnd w:id="42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inception of a contract, the Company assesses whether a contract is, or contains, a lease. A contract is or contains a lease if it conveys the right to control the use of an identified asset for a period of time in exchange of a consideration. To assess whether a contract is or contains a lease, the Company assess whether the contract involves the use of an identified asset, whether it has the right to obtain substantially all the economic benefits from the use of the asset and whether it has the right to control the use of the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Financing lease and operating lease as Lessee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a lease as a financing lease at lease commencement when the lease meets any one of the criteria: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lease transfers ownership of the underlying asset to the lessee by the end of the lease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lease grants the lessee an option to purchase the underlying asset that the lessee is reasonably certain to exercise.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lease term is for a major part of the remaining economic life of the underlying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present value of the sum of the lease payments and any residual value guaranteed by the lessee that is not already reflected in the lease payments equals or exceeds substantially all of the fair value of the underlying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underlying asset is of such a specialized nature that it is expected to have no alternative use to the Company at the end of the lease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none of the criteria are met, the Company classifies a lease as an operating lease.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terms are based on the non-cancellable term of the lease and may contain options to extend the lease when it is reasonably certain that the Company will exercise the option. Lease liabilities represent the present value of the lease payments not yet paid, discounted using the incremental borrowing rate for the lease at lease commencement.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its incremental borrowing rate for its leases at the commencement date to determine the present value of future lease payments when the implicit rate is not readily determinable in the lease. In estimating its incremental borrowing rate, the Company considers its credit rating and publicly available data of borrowing rates for loans of similar amount, currency and term as the lease.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are presented as “operating right-of-use assets” and “operating lease liabilities”. Lease liabilities that become due within one year of the balance sheet date are classified as current liabilities. At lease commencement, right-of-use assets represent the right to use underlying assets for their respective lease terms and are recognized at amounts equal to the lease liabilities adjusted for any lease payments made prior to the lease commencement date, less any lease incentives received and any initial direct costs incurred by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lease commencement, operating lease liabilities are measured at the present value of the remaining lease payments using the discount rate determined at lease commencement. Right-of-use assets are measured at the amount of the lease liabilities and further adjusted for prepaid or accrued lease payments, the remaining balance of any lease incentives received, unamortized initial direct costs and impairment of the right-of-use assets, if any. Operating lease expense is recognized as a single cost on a straight-line basis over the lease term.</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F-14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21" w:name="xdx_232_zbgpLySI3c2e"/>
      <w:bookmarkEnd w:id="421"/>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leases are presented as “finance lease right-of-use assets” and “finance lease liabilities” on the combined balance sheets. Lease liabilities that become due within one year of the balance sheet date are classified as current liabilities. Financing lease right-of-use assets are amortized on a straight-line basis from the lease commencement date. After initial measurement, the carrying value of financing lease liabilities are increased to reflect interest at a constant rate and reduced to reflect any lease payments made during the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that have a term of 12 months or less at the commencement date (“short-term leases”) are not included in right-of-use assets and operating lease liabilities. Lease expense for the short-term leases is recognized on a straight-line basis over the lease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Operating leases as Lessor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operating leases, the Company recognized rental income over the non-cancellable lease term on a straight-line basis and is included in revenue in the statement of profit and loss due to its operating nature. Initial direct costs incurred in negotiating and arranging an operating lease are added to the carrying amount of the leased asset and recognized over the lease term on the same basis on the rental income. The Company did not have any sales-type or direct financing leases for the six months ended June 30, 2025 and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impairment of its right-of-use assets and finance lease right-of-use assets consistent with the approach applied for its other long-lived assets. The Company reviews the recoverability of its long-lived assets when events or changes in circumstances occur that indicate that the carrying value of the asset may not be recoverable. The assessment of possible impairment is based on its ability to recover the carrying value of the asset from the expected undiscounted future pre-tax cash flows of the related operations. For operating leases, the Company has elected to include the carrying amount of operating lease liabilities in any tested asset and include the associated operating lease payments in the undiscounted future pre-tax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Lessor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Head-lease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Company entered into an agreement with a third-party as a lessor to lease certain floors of one of the Company’s buildings located in Qingyuan to the lessee. The Company accounted for these leases in accordance with ASC 842 and assessed them to be operating leases. The lease income is recognized over the leased terms on a straight-line basis and included in other income. The building is included in property, plant and equipment as it is owned by the Company and the Company is actively using other portions of the property.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Sublease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entered into an agreement with a related party, PSM-ZJK, as an intermediate lessor to sublease certain portions of operating-leased warehouse facilities. The Company is actively using other portions of the operating right-of-use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entered into an agreement with a third party as an intermediate lessor to sublease certain portions of operating-leased warehouse facilities. The Company is actively using other portions of the operating right-of-use assets.</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F-15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22" w:name="xdx_23A_zWhDKk9OWQ8c"/>
      <w:bookmarkEnd w:id="42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sublease in accordance with ASC 842 and assessed them to be operating lease. The lease income is recognized over the leased terms on a straight-line basis and included in other income. The original head-lease right-of-use assets and lease liabilities continue to be recognized on the consolidated balance sheets.</w:t>
      </w:r>
    </w:p>
    <w:p>
      <w:pPr>
        <w:pStyle w:val="TextBody"/>
        <w:bidi w:val="0"/>
        <w:jc w:val="both"/>
        <w:rPr>
          <w:caps w:val="false"/>
          <w:smallCaps w:val="false"/>
        </w:rPr>
      </w:pPr>
      <w:bookmarkStart w:id="423" w:name="xdx_846_ecustom--ValueAddedTaxesAndSurch"/>
      <w:bookmarkEnd w:id="423"/>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230"/>
        <w:gridCol w:w="29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b/>
                <w:sz w:val="20"/>
              </w:rPr>
            </w:pPr>
            <w:r>
              <w:rPr>
                <w:b/>
                <w:sz w:val="20"/>
              </w:rPr>
              <w:t>(r)</w:t>
            </w:r>
          </w:p>
        </w:tc>
        <w:tc>
          <w:tcPr>
            <w:tcW w:w="2915" w:type="dxa"/>
            <w:tcBorders/>
            <w:vAlign w:val="center"/>
          </w:tcPr>
          <w:p>
            <w:pPr>
              <w:pStyle w:val="TableContents"/>
              <w:bidi w:val="0"/>
              <w:spacing w:before="0" w:after="283"/>
              <w:jc w:val="left"/>
              <w:rPr>
                <w:b/>
                <w:sz w:val="20"/>
              </w:rPr>
            </w:pPr>
            <w:bookmarkStart w:id="424" w:name="xdx_866_z9euhvkxSbSf"/>
            <w:bookmarkEnd w:id="424"/>
            <w:r>
              <w:rPr>
                <w:b/>
                <w:sz w:val="20"/>
              </w:rPr>
              <w:t>Value-added taxes and surcharges</w:t>
            </w:r>
          </w:p>
        </w:tc>
      </w:tr>
    </w:tbl>
    <w:p>
      <w:pPr>
        <w:pStyle w:val="TextBody"/>
        <w:bidi w:val="0"/>
        <w:ind w:left="105"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VAT and related surcharges on revenues generated from providing services. Revenue from providing services and sales of products is generally subject to VAT at applicable tax rates, and subsequently paid to PRC tax authorities after netting input VAT on purchases. The excess of output VAT over input VAT is reflected tax payable. The Company reports revenue net of PRC’s VAT for all the periods presented in the Unaudited Condensed Consolidated Statements of Income and Comprehensive Income. The Company was subject to the PRC’s VAT rate of </w:t>
      </w:r>
      <w:bookmarkStart w:id="425" w:name="xdx_904_ecustom--VatRate_iI_dp_c20260630"/>
      <w:bookmarkEnd w:id="425"/>
      <w:r>
        <w:rPr>
          <w:rFonts w:ascii="Times New Roman;Times;Serif" w:hAnsi="Times New Roman;Times;Serif"/>
          <w:b w:val="false"/>
          <w:i w:val="false"/>
          <w:caps w:val="false"/>
          <w:smallCaps w:val="false"/>
          <w:sz w:val="20"/>
        </w:rPr>
        <w:t xml:space="preserve">13% for selling products and </w:t>
      </w:r>
      <w:bookmarkStart w:id="426" w:name="xdx_907_ecustom--RentalIncome_iI_dp_c202"/>
      <w:bookmarkStart w:id="427" w:name="xdx_90F_ecustom--RentalIncome_iI_dp_c202"/>
      <w:bookmarkEnd w:id="426"/>
      <w:bookmarkEnd w:id="427"/>
      <w:r>
        <w:rPr>
          <w:rFonts w:ascii="Times New Roman;Times;Serif" w:hAnsi="Times New Roman;Times;Serif"/>
          <w:b w:val="false"/>
          <w:i w:val="false"/>
          <w:caps w:val="false"/>
          <w:smallCaps w:val="false"/>
          <w:sz w:val="20"/>
        </w:rPr>
        <w:t>9% for rental income for the six months ended June 30, 2025 and 2026.</w:t>
      </w:r>
    </w:p>
    <w:p>
      <w:pPr>
        <w:pStyle w:val="TextBody"/>
        <w:bidi w:val="0"/>
        <w:jc w:val="both"/>
        <w:rPr>
          <w:caps w:val="false"/>
          <w:smallCaps w:val="false"/>
        </w:rPr>
      </w:pPr>
      <w:bookmarkStart w:id="428" w:name="xdx_846_ecustom--RelatedPartiesPolicyTex"/>
      <w:bookmarkEnd w:id="428"/>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75"/>
        <w:gridCol w:w="215"/>
        <w:gridCol w:w="131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sz w:val="20"/>
              </w:rPr>
            </w:pPr>
            <w:r>
              <w:rPr>
                <w:b/>
                <w:sz w:val="20"/>
              </w:rPr>
              <w:t>(s)</w:t>
            </w:r>
          </w:p>
        </w:tc>
        <w:tc>
          <w:tcPr>
            <w:tcW w:w="1310" w:type="dxa"/>
            <w:tcBorders/>
            <w:vAlign w:val="center"/>
          </w:tcPr>
          <w:p>
            <w:pPr>
              <w:pStyle w:val="TableContents"/>
              <w:bidi w:val="0"/>
              <w:spacing w:before="0" w:after="283"/>
              <w:jc w:val="left"/>
              <w:rPr>
                <w:b/>
                <w:sz w:val="20"/>
              </w:rPr>
            </w:pPr>
            <w:bookmarkStart w:id="429" w:name="xdx_867_zBYWq59h9QLh"/>
            <w:bookmarkEnd w:id="429"/>
            <w:r>
              <w:rPr>
                <w:b/>
                <w:sz w:val="20"/>
              </w:rPr>
              <w:t>Related parties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to the Company if the parties, directly or indirectly, through one or more intermediaries, control, are controlled by, or are under common control with the Company. Related party also include principal owners of the Company, its managements, members of the immediate families of principal owners of the Company and its management and other parties with which the Company may deal with if one party controls or can significantly influence the management or operating policies of the other to an extent that one of the transacting parties might be prevented from fully pursuing its own separate interests. The Company discloses all significant related party transactions.</w:t>
      </w:r>
    </w:p>
    <w:p>
      <w:pPr>
        <w:pStyle w:val="TextBody"/>
        <w:bidi w:val="0"/>
        <w:jc w:val="both"/>
        <w:rPr>
          <w:caps w:val="false"/>
          <w:smallCaps w:val="false"/>
        </w:rPr>
      </w:pPr>
      <w:bookmarkStart w:id="430" w:name="xdx_84C_eus-gaap--RevenueRecognitionPoli"/>
      <w:bookmarkEnd w:id="430"/>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200"/>
        <w:gridCol w:w="17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sz w:val="20"/>
              </w:rPr>
            </w:pPr>
            <w:r>
              <w:rPr>
                <w:b/>
                <w:sz w:val="20"/>
              </w:rPr>
              <w:t>(t)</w:t>
            </w:r>
          </w:p>
        </w:tc>
        <w:tc>
          <w:tcPr>
            <w:tcW w:w="1775" w:type="dxa"/>
            <w:tcBorders/>
            <w:vAlign w:val="center"/>
          </w:tcPr>
          <w:p>
            <w:pPr>
              <w:pStyle w:val="TableContents"/>
              <w:bidi w:val="0"/>
              <w:spacing w:before="0" w:after="283"/>
              <w:jc w:val="left"/>
              <w:rPr>
                <w:b/>
                <w:sz w:val="20"/>
              </w:rPr>
            </w:pPr>
            <w:bookmarkStart w:id="431" w:name="xdx_86F_zakwHoaJGOhd"/>
            <w:bookmarkEnd w:id="431"/>
            <w:r>
              <w:rPr>
                <w:b/>
                <w:sz w:val="20"/>
              </w:rPr>
              <w:t>Revenue recognition</w:t>
            </w:r>
          </w:p>
        </w:tc>
      </w:tr>
    </w:tbl>
    <w:p>
      <w:pPr>
        <w:pStyle w:val="TextBody"/>
        <w:bidi w:val="0"/>
        <w:ind w:left="105" w:right="0" w:hanging="0"/>
        <w:jc w:val="both"/>
        <w:rPr>
          <w:caps w:val="false"/>
          <w:smallCaps w:val="false"/>
        </w:rPr>
      </w:pPr>
      <w:r>
        <w:rPr>
          <w:caps w:val="false"/>
          <w:smallCaps w:val="false"/>
        </w:rPr>
        <w:t> </w:t>
      </w:r>
    </w:p>
    <w:p>
      <w:pPr>
        <w:pStyle w:val="TextBody"/>
        <w:bidi w:val="0"/>
        <w:ind w:left="105"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Product sales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with the adoption of Accounting Standards Update (“ASU”) 2014-09, “Revenue from Contracts with Customers (Topic 606),” and the associated ASUs (collectively, “Topic 606”) on January 1, 2020, the Company recognizes revenue when its customer obtains control of promised goods in an amount that reflects the consideration which the Company expects to receive in exchange for those goods. To determine revenue recognition for the arrangements that the Company determines are within the scope of Topic 606, the Company performs the following five steps:</w:t>
      </w:r>
    </w:p>
    <w:p>
      <w:pPr>
        <w:pStyle w:val="TextBody"/>
        <w:bidi w:val="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identify the contract(s) with a customer,</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identify the performance obligations in the contract,</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determine the transaction price,</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allocate the transaction price to the performance obligations in the contract and</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recognize revenue when (or as) the entity satisfies a performance obligation.</w:t>
      </w:r>
    </w:p>
    <w:p>
      <w:pPr>
        <w:pStyle w:val="TextBody"/>
        <w:bidi w:val="0"/>
        <w:ind w:left="0" w:right="0" w:firstLine="600"/>
        <w:jc w:val="both"/>
        <w:rPr>
          <w:caps w:val="false"/>
          <w:smallCaps w:val="false"/>
        </w:rPr>
      </w:pPr>
      <w:r>
        <w:rPr>
          <w:caps w:val="false"/>
          <w:smallCaps w:val="false"/>
        </w:rPr>
        <w:t> </w:t>
      </w:r>
    </w:p>
    <w:p>
      <w:pPr>
        <w:pStyle w:val="TextBody"/>
        <w:bidi w:val="0"/>
        <w:ind w:left="0" w:right="0" w:firstLine="60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from contracts with customers is derived from product revenue principally from the sales of metal stamping and mechanical original equipment manufacturer (“OEM”) and electric OEM products directly to other consumer electronics product manufacturers. The Company sells goods to the customer under sales contracts or by purchase orders. The Company has determined there to be one performance obligation for each of the sales contracts. The performance obligations are considered to be fulfilled and revenue is recognized at a point in time when the customer obtains control of the goods. The Company has three major goods delivery channels, including:</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F-16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32" w:name="xdx_232_zhQBDrCwMfb8"/>
      <w:bookmarkEnd w:id="432"/>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sz w:val="20"/>
              </w:rPr>
            </w:pPr>
            <w:r>
              <w:rPr>
                <w:sz w:val="20"/>
              </w:rPr>
              <w:t>(1)</w:t>
            </w:r>
          </w:p>
        </w:tc>
        <w:tc>
          <w:tcPr>
            <w:tcW w:w="9980" w:type="dxa"/>
            <w:tcBorders/>
            <w:vAlign w:val="center"/>
          </w:tcPr>
          <w:p>
            <w:pPr>
              <w:pStyle w:val="TableContents"/>
              <w:bidi w:val="0"/>
              <w:spacing w:before="0" w:after="283"/>
              <w:jc w:val="both"/>
              <w:rPr>
                <w:sz w:val="20"/>
              </w:rPr>
            </w:pPr>
            <w:r>
              <w:rPr>
                <w:sz w:val="20"/>
              </w:rPr>
              <w:t xml:space="preserve">Delivering goods to customers’ predetermined location, the Company has satisfied the contracts’ performance obligations when the goods have been delivered and relevant shipping documents have been collected by the Company; </w:t>
            </w:r>
          </w:p>
        </w:tc>
      </w:tr>
      <w:tr>
        <w:trPr/>
        <w:tc>
          <w:tcPr>
            <w:tcW w:w="225" w:type="dxa"/>
            <w:tcBorders/>
            <w:vAlign w:val="center"/>
          </w:tcPr>
          <w:p>
            <w:pPr>
              <w:pStyle w:val="TableContents"/>
              <w:bidi w:val="0"/>
              <w:spacing w:before="0" w:after="283"/>
              <w:jc w:val="left"/>
              <w:rPr/>
            </w:pPr>
            <w:r>
              <w:rPr/>
              <w:t> </w:t>
            </w:r>
          </w:p>
        </w:tc>
        <w:tc>
          <w:tcPr>
            <w:tcW w:w="9980" w:type="dxa"/>
            <w:tcBorders/>
            <w:vAlign w:val="center"/>
          </w:tcPr>
          <w:p>
            <w:pPr>
              <w:pStyle w:val="TableContents"/>
              <w:bidi w:val="0"/>
              <w:spacing w:before="0" w:after="283"/>
              <w:jc w:val="both"/>
              <w:rPr/>
            </w:pPr>
            <w:r>
              <w:rPr/>
              <w:t> </w:t>
            </w:r>
          </w:p>
        </w:tc>
      </w:tr>
      <w:tr>
        <w:trPr/>
        <w:tc>
          <w:tcPr>
            <w:tcW w:w="225" w:type="dxa"/>
            <w:tcBorders/>
            <w:vAlign w:val="center"/>
          </w:tcPr>
          <w:p>
            <w:pPr>
              <w:pStyle w:val="TableContents"/>
              <w:bidi w:val="0"/>
              <w:spacing w:before="0" w:after="283"/>
              <w:jc w:val="left"/>
              <w:rPr>
                <w:sz w:val="20"/>
              </w:rPr>
            </w:pPr>
            <w:r>
              <w:rPr>
                <w:sz w:val="20"/>
              </w:rPr>
              <w:t>(2)</w:t>
            </w:r>
          </w:p>
        </w:tc>
        <w:tc>
          <w:tcPr>
            <w:tcW w:w="9980" w:type="dxa"/>
            <w:tcBorders/>
            <w:vAlign w:val="center"/>
          </w:tcPr>
          <w:p>
            <w:pPr>
              <w:pStyle w:val="TableContents"/>
              <w:bidi w:val="0"/>
              <w:spacing w:before="0" w:after="283"/>
              <w:jc w:val="both"/>
              <w:rPr>
                <w:sz w:val="20"/>
              </w:rPr>
            </w:pPr>
            <w:r>
              <w:rPr>
                <w:sz w:val="20"/>
              </w:rPr>
              <w:t>Picking up goods by customers in the Company’s warehouse, the Company has satisfied the contracts’ performance obligations when the goods have been picked up and the acceptance document has been signed by the customers; and</w:t>
            </w:r>
          </w:p>
        </w:tc>
      </w:tr>
      <w:tr>
        <w:trPr/>
        <w:tc>
          <w:tcPr>
            <w:tcW w:w="225" w:type="dxa"/>
            <w:tcBorders/>
            <w:vAlign w:val="center"/>
          </w:tcPr>
          <w:p>
            <w:pPr>
              <w:pStyle w:val="TableContents"/>
              <w:bidi w:val="0"/>
              <w:spacing w:before="0" w:after="283"/>
              <w:jc w:val="left"/>
              <w:rPr/>
            </w:pPr>
            <w:r>
              <w:rPr/>
              <w:t> </w:t>
            </w:r>
          </w:p>
        </w:tc>
        <w:tc>
          <w:tcPr>
            <w:tcW w:w="9980" w:type="dxa"/>
            <w:tcBorders/>
            <w:vAlign w:val="center"/>
          </w:tcPr>
          <w:p>
            <w:pPr>
              <w:pStyle w:val="TableContents"/>
              <w:bidi w:val="0"/>
              <w:spacing w:before="0" w:after="283"/>
              <w:jc w:val="both"/>
              <w:rPr/>
            </w:pPr>
            <w:r>
              <w:rPr/>
              <w:t> </w:t>
            </w:r>
          </w:p>
        </w:tc>
      </w:tr>
      <w:tr>
        <w:trPr/>
        <w:tc>
          <w:tcPr>
            <w:tcW w:w="225" w:type="dxa"/>
            <w:tcBorders/>
            <w:vAlign w:val="center"/>
          </w:tcPr>
          <w:p>
            <w:pPr>
              <w:pStyle w:val="TableContents"/>
              <w:bidi w:val="0"/>
              <w:spacing w:before="0" w:after="283"/>
              <w:jc w:val="left"/>
              <w:rPr>
                <w:sz w:val="20"/>
              </w:rPr>
            </w:pPr>
            <w:r>
              <w:rPr>
                <w:sz w:val="20"/>
              </w:rPr>
              <w:t>(3)</w:t>
            </w:r>
          </w:p>
        </w:tc>
        <w:tc>
          <w:tcPr>
            <w:tcW w:w="9980" w:type="dxa"/>
            <w:tcBorders/>
            <w:vAlign w:val="center"/>
          </w:tcPr>
          <w:p>
            <w:pPr>
              <w:pStyle w:val="TableContents"/>
              <w:bidi w:val="0"/>
              <w:spacing w:before="0" w:after="283"/>
              <w:jc w:val="both"/>
              <w:rPr>
                <w:sz w:val="20"/>
              </w:rPr>
            </w:pPr>
            <w:r>
              <w:rPr>
                <w:sz w:val="20"/>
              </w:rPr>
              <w:t xml:space="preserve">Picking up goods by customers in the Vendor Managed Inventory (“VMI”) warehouse, the Company satisfied the contracts’ performance obligations when the goods have been picked up and the Company confirmed the amounts used by customers with clean reply received. </w:t>
            </w:r>
          </w:p>
        </w:tc>
      </w:tr>
    </w:tbl>
    <w:p>
      <w:pPr>
        <w:pStyle w:val="TextBody"/>
        <w:bidi w:val="0"/>
        <w:ind w:left="0" w:right="0" w:hanging="1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products picked up by customers in the VMI warehouse, the Company is primarily responsible for the contract as it has the supplier discretion when executing orders and it is the only party that has a contractual relationship with customers. The Company establishes and obtains substantially all of the benefits from transactions, i.e. considerations paid by customers. Therefore, the Company concludes that it obtains control the of the products pursuant to ASC 606-10-55-37A(a). The Company considers itself to be the principal in the transactions on the basis that it is primary responsible to fulfill the promise and has the price discretion, pursuant to ASC 606-10-55-39.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in the form of a fixed price which is agreed with the customer at contract inception. Revenue is recorded net of sales return, surcharges and value-added tax of gross sales. The contract price is fully allocated to the single performance obligation.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are all within 180 days and its sales arrangements do not have any material financing components.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contract asset is recorded when the Company has transferred products or services to the customer before payment is received or is due, and the Company’s right to consideration is conditional on future performance in the contract. The Company did not recognize any contract asset as of December 31, 2025 and June 30, 2026. The timing between the recognition of revenue and receipt of payment is not significant. </w:t>
      </w:r>
      <w:r>
        <w:rPr>
          <w:rFonts w:ascii="Times New Roman;Times;Serif" w:hAnsi="Times New Roman;Times;Serif"/>
          <w:b w:val="false"/>
          <w:i w:val="false"/>
          <w:caps w:val="false"/>
          <w:smallCaps w:val="false"/>
          <w:spacing w:val="4"/>
          <w:sz w:val="20"/>
        </w:rPr>
        <w:t>A contract liability exists when the Company has received consideration but has not transferred the related goods or services to the customer. </w:t>
      </w:r>
      <w:r>
        <w:rPr>
          <w:rFonts w:ascii="Times New Roman;Times;Serif" w:hAnsi="Times New Roman;Times;Serif"/>
          <w:b w:val="false"/>
          <w:i w:val="false"/>
          <w:caps w:val="false"/>
          <w:smallCaps w:val="false"/>
          <w:sz w:val="20"/>
        </w:rPr>
        <w:t>The Company recognized nil and US$</w:t>
      </w:r>
      <w:bookmarkStart w:id="433" w:name="xdx_906_eus-gaap--ContractWithCustomerLi"/>
      <w:bookmarkEnd w:id="433"/>
      <w:r>
        <w:rPr>
          <w:rFonts w:ascii="Times New Roman;Times;Serif" w:hAnsi="Times New Roman;Times;Serif"/>
          <w:b w:val="false"/>
          <w:i w:val="false"/>
          <w:caps w:val="false"/>
          <w:smallCaps w:val="false"/>
          <w:sz w:val="20"/>
        </w:rPr>
        <w:t>150,426   contract liabilities as of December 31, 2025 and June 30, 2026, respectively, which were included in accrued expenses and other current liabilities on the consolidated balance sheets.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Return Rights &amp; Warranty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delivery channels, the Company generally provides warranty period of one year and customers are required to perform product quality check upon acceptance of delivery. The warranty covers only production defects, and offers to replace the defective products with new products during warranty period. Customers do not have the option to purchase the warranty separately, nor the warrant provides a service in addition to assurance. Accordingly, warranty costs are treated as a cost of fulfillment subject to accrual, rather than a performance obligation. As of December 31, 2025   and June 30, 2026, the Company accrue refund liability of US$</w:t>
      </w:r>
      <w:bookmarkStart w:id="434" w:name="xdx_902_ecustom--AccruedRefundLiability_"/>
      <w:bookmarkEnd w:id="434"/>
      <w:r>
        <w:rPr>
          <w:rFonts w:ascii="Times New Roman;Times;Serif" w:hAnsi="Times New Roman;Times;Serif"/>
          <w:b w:val="false"/>
          <w:i w:val="false"/>
          <w:caps w:val="false"/>
          <w:smallCaps w:val="false"/>
          <w:sz w:val="20"/>
        </w:rPr>
        <w:t>182,323 and US$</w:t>
      </w:r>
      <w:bookmarkStart w:id="435" w:name="xdx_901_ecustom--AccruedRefundLiability_"/>
      <w:bookmarkEnd w:id="435"/>
      <w:r>
        <w:rPr>
          <w:rFonts w:ascii="Times New Roman;Times;Serif" w:hAnsi="Times New Roman;Times;Serif"/>
          <w:b w:val="false"/>
          <w:i w:val="false"/>
          <w:caps w:val="false"/>
          <w:smallCaps w:val="false"/>
          <w:sz w:val="20"/>
        </w:rPr>
        <w:t>187,912 related to the return rights for product quality issues on the consolidated balance sheets.</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F-17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36" w:name="xdx_230_zC4usxtAJ38f"/>
      <w:bookmarkEnd w:id="436"/>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vs agent accounting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all product revenue on a gross basis as the Company acts as the principal. To determine whether the Company is an agent or principal in the sales of products, the Company considers the following indicators: the Company is primarily responsible for fulfilling the promise to provide the specified goods or services, is subject to inventory risks before the specified goods have been transferred to a customer or after transfer of control to the customers, and has discretion in establishing the price of the specified goods.</w:t>
      </w:r>
    </w:p>
    <w:p>
      <w:pPr>
        <w:pStyle w:val="TextBody"/>
        <w:bidi w:val="0"/>
        <w:jc w:val="both"/>
        <w:rPr>
          <w:caps w:val="false"/>
          <w:smallCaps w:val="false"/>
        </w:rPr>
      </w:pPr>
      <w:bookmarkStart w:id="437" w:name="xdx_842_eus-gaap--CostOfSalesPolicyTextB"/>
      <w:bookmarkEnd w:id="437"/>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75"/>
        <w:gridCol w:w="245"/>
        <w:gridCol w:w="10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(u)</w:t>
            </w:r>
          </w:p>
        </w:tc>
        <w:tc>
          <w:tcPr>
            <w:tcW w:w="1070" w:type="dxa"/>
            <w:tcBorders/>
            <w:vAlign w:val="center"/>
          </w:tcPr>
          <w:p>
            <w:pPr>
              <w:pStyle w:val="TableContents"/>
              <w:bidi w:val="0"/>
              <w:spacing w:before="0" w:after="283"/>
              <w:jc w:val="left"/>
              <w:rPr>
                <w:b/>
                <w:sz w:val="20"/>
              </w:rPr>
            </w:pPr>
            <w:bookmarkStart w:id="438" w:name="xdx_863_zIIg7Bg4hkXe"/>
            <w:bookmarkEnd w:id="438"/>
            <w:r>
              <w:rPr>
                <w:b/>
                <w:sz w:val="20"/>
              </w:rPr>
              <w:t>Cost of sales</w:t>
            </w:r>
          </w:p>
        </w:tc>
      </w:tr>
    </w:tbl>
    <w:p>
      <w:pPr>
        <w:pStyle w:val="TextBody"/>
        <w:bidi w:val="0"/>
        <w:ind w:left="105"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mainly consists of raw materials, direct and indirect labor and related benefits, and manufacturing overhead that is directly attributable to the production process.</w:t>
      </w:r>
    </w:p>
    <w:p>
      <w:pPr>
        <w:pStyle w:val="TextBody"/>
        <w:bidi w:val="0"/>
        <w:jc w:val="both"/>
        <w:rPr>
          <w:caps w:val="false"/>
          <w:smallCaps w:val="false"/>
        </w:rPr>
      </w:pPr>
      <w:bookmarkStart w:id="439" w:name="xdx_849_ecustom--SellingAndMarketingExpe"/>
      <w:bookmarkEnd w:id="439"/>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245"/>
        <w:gridCol w:w="26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(v)</w:t>
            </w:r>
          </w:p>
        </w:tc>
        <w:tc>
          <w:tcPr>
            <w:tcW w:w="2690" w:type="dxa"/>
            <w:tcBorders/>
            <w:vAlign w:val="center"/>
          </w:tcPr>
          <w:p>
            <w:pPr>
              <w:pStyle w:val="TableContents"/>
              <w:bidi w:val="0"/>
              <w:spacing w:before="0" w:after="283"/>
              <w:jc w:val="left"/>
              <w:rPr>
                <w:b/>
                <w:sz w:val="20"/>
              </w:rPr>
            </w:pPr>
            <w:bookmarkStart w:id="440" w:name="xdx_867_zoJ6w3Sd5Ldd"/>
            <w:bookmarkEnd w:id="440"/>
            <w:r>
              <w:rPr>
                <w:b/>
                <w:sz w:val="20"/>
              </w:rPr>
              <w:t>Selling and marketing expenses</w:t>
            </w:r>
          </w:p>
        </w:tc>
      </w:tr>
    </w:tbl>
    <w:p>
      <w:pPr>
        <w:pStyle w:val="TextBody"/>
        <w:bidi w:val="0"/>
        <w:ind w:left="105"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primarily consist of (i) sales commission paid to generate sales and expand the market, (ii) salaries and benefits for sales and marketing personnel, and (iii) freight for selling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expensed when incurred and are included in selling and marketing expenses. Sales commission expenses were US$</w:t>
      </w:r>
      <w:bookmarkStart w:id="441" w:name="xdx_90C_eus-gaap--AmortizationOfDeferred"/>
      <w:bookmarkEnd w:id="441"/>
      <w:r>
        <w:rPr>
          <w:rFonts w:ascii="Times New Roman;Times;Serif" w:hAnsi="Times New Roman;Times;Serif"/>
          <w:b w:val="false"/>
          <w:i w:val="false"/>
          <w:caps w:val="false"/>
          <w:smallCaps w:val="false"/>
          <w:sz w:val="20"/>
        </w:rPr>
        <w:t>2,770,418 and US$</w:t>
      </w:r>
      <w:bookmarkStart w:id="442" w:name="xdx_90F_eus-gaap--AmortizationOfDeferred"/>
      <w:bookmarkEnd w:id="442"/>
      <w:r>
        <w:rPr>
          <w:rFonts w:ascii="Times New Roman;Times;Serif" w:hAnsi="Times New Roman;Times;Serif"/>
          <w:b w:val="false"/>
          <w:i w:val="false"/>
          <w:caps w:val="false"/>
          <w:smallCaps w:val="false"/>
          <w:sz w:val="20"/>
        </w:rPr>
        <w:t>3,085,361 for the six months ended June 30, 2025 and 2026,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Freight costs are not considered a separate performance obligation within revenue recognition, while freight costs are expensed when incurred and are included in selling and marketing expenses. Freight costs were US$</w:t>
      </w:r>
      <w:bookmarkStart w:id="443" w:name="xdx_901_eus-gaap--OtherSellingAndMarketi"/>
      <w:bookmarkEnd w:id="443"/>
      <w:r>
        <w:rPr>
          <w:rFonts w:ascii="Times New Roman;Times;Serif" w:hAnsi="Times New Roman;Times;Serif"/>
          <w:b w:val="false"/>
          <w:i w:val="false"/>
          <w:caps w:val="false"/>
          <w:smallCaps w:val="false"/>
          <w:sz w:val="20"/>
        </w:rPr>
        <w:t>382,902 and US$</w:t>
      </w:r>
      <w:bookmarkStart w:id="444" w:name="xdx_903_eus-gaap--OtherSellingAndMarketi"/>
      <w:bookmarkEnd w:id="444"/>
      <w:r>
        <w:rPr>
          <w:rFonts w:ascii="Times New Roman;Times;Serif" w:hAnsi="Times New Roman;Times;Serif"/>
          <w:b w:val="false"/>
          <w:i w:val="false"/>
          <w:caps w:val="false"/>
          <w:smallCaps w:val="false"/>
          <w:sz w:val="20"/>
        </w:rPr>
        <w:t>558,081 for the six months ended June 30, 2025 and 2026, respectively.</w:t>
      </w:r>
    </w:p>
    <w:p>
      <w:pPr>
        <w:pStyle w:val="TextBody"/>
        <w:bidi w:val="0"/>
        <w:jc w:val="both"/>
        <w:rPr>
          <w:caps w:val="false"/>
          <w:smallCaps w:val="false"/>
        </w:rPr>
      </w:pPr>
      <w:bookmarkStart w:id="445" w:name="xdx_849_eus-gaap--SellingGeneralAndAdmin"/>
      <w:bookmarkEnd w:id="445"/>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275"/>
        <w:gridCol w:w="31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sz w:val="20"/>
              </w:rPr>
            </w:pPr>
            <w:r>
              <w:rPr>
                <w:b/>
                <w:sz w:val="20"/>
              </w:rPr>
              <w:t>(w)</w:t>
            </w:r>
          </w:p>
        </w:tc>
        <w:tc>
          <w:tcPr>
            <w:tcW w:w="3155" w:type="dxa"/>
            <w:tcBorders/>
            <w:vAlign w:val="center"/>
          </w:tcPr>
          <w:p>
            <w:pPr>
              <w:pStyle w:val="TableContents"/>
              <w:bidi w:val="0"/>
              <w:spacing w:before="0" w:after="283"/>
              <w:jc w:val="left"/>
              <w:rPr>
                <w:b/>
                <w:sz w:val="20"/>
              </w:rPr>
            </w:pPr>
            <w:bookmarkStart w:id="446" w:name="xdx_86D_zHfmWeq6r5aa"/>
            <w:bookmarkEnd w:id="446"/>
            <w:r>
              <w:rPr>
                <w:b/>
                <w:sz w:val="20"/>
              </w:rPr>
              <w:t>General and administrative expenses</w:t>
            </w:r>
          </w:p>
        </w:tc>
      </w:tr>
    </w:tbl>
    <w:p>
      <w:pPr>
        <w:pStyle w:val="TextBody"/>
        <w:bidi w:val="0"/>
        <w:ind w:left="105" w:right="0" w:hanging="0"/>
        <w:jc w:val="both"/>
        <w:rPr>
          <w:caps w:val="false"/>
          <w:smallCaps w:val="false"/>
        </w:rPr>
      </w:pPr>
      <w:r>
        <w:rPr>
          <w:caps w:val="false"/>
          <w:smallCaps w:val="false"/>
        </w:rPr>
        <w:t> </w:t>
      </w:r>
    </w:p>
    <w:p>
      <w:pPr>
        <w:pStyle w:val="TextBody"/>
        <w:bidi w:val="0"/>
        <w:ind w:left="10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(i) professional service fees, (ii) salaries and benefits for administrative personnel, and (iii) office expenses.</w:t>
      </w:r>
    </w:p>
    <w:p>
      <w:pPr>
        <w:pStyle w:val="TextBody"/>
        <w:bidi w:val="0"/>
        <w:jc w:val="left"/>
        <w:rPr>
          <w:caps w:val="false"/>
          <w:smallCaps w:val="false"/>
        </w:rPr>
      </w:pPr>
      <w:bookmarkStart w:id="447" w:name="xdx_84D_eus-gaap--ResearchAndDevelopment"/>
      <w:bookmarkEnd w:id="447"/>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245"/>
        <w:gridCol w:w="27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(x)</w:t>
            </w:r>
          </w:p>
        </w:tc>
        <w:tc>
          <w:tcPr>
            <w:tcW w:w="2750" w:type="dxa"/>
            <w:tcBorders/>
            <w:vAlign w:val="center"/>
          </w:tcPr>
          <w:p>
            <w:pPr>
              <w:pStyle w:val="TableContents"/>
              <w:bidi w:val="0"/>
              <w:spacing w:before="0" w:after="283"/>
              <w:jc w:val="left"/>
              <w:rPr>
                <w:b/>
                <w:sz w:val="20"/>
              </w:rPr>
            </w:pPr>
            <w:bookmarkStart w:id="448" w:name="xdx_866_zKWStZm7HkIj"/>
            <w:bookmarkEnd w:id="448"/>
            <w:r>
              <w:rPr>
                <w:b/>
                <w:sz w:val="20"/>
              </w:rPr>
              <w:t>Research and development costs</w:t>
            </w:r>
          </w:p>
        </w:tc>
      </w:tr>
    </w:tbl>
    <w:p>
      <w:pPr>
        <w:pStyle w:val="TextBody"/>
        <w:bidi w:val="0"/>
        <w:ind w:left="105" w:right="0" w:hanging="0"/>
        <w:jc w:val="both"/>
        <w:rPr>
          <w:caps w:val="false"/>
          <w:smallCaps w:val="false"/>
        </w:rPr>
      </w:pPr>
      <w:r>
        <w:rPr>
          <w:caps w:val="false"/>
          <w:smallCaps w:val="false"/>
        </w:rPr>
        <w:t> </w:t>
      </w:r>
    </w:p>
    <w:p>
      <w:pPr>
        <w:pStyle w:val="TextBody"/>
        <w:bidi w:val="0"/>
        <w:ind w:left="10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primarily include (i) salaries and benefits for research and development personnel, (ii) depreciation expenses, and (iii) material consumption.</w:t>
      </w:r>
    </w:p>
    <w:p>
      <w:pPr>
        <w:pStyle w:val="TextBody"/>
        <w:bidi w:val="0"/>
        <w:jc w:val="both"/>
        <w:rPr>
          <w:caps w:val="false"/>
          <w:smallCaps w:val="false"/>
        </w:rPr>
      </w:pPr>
      <w:bookmarkStart w:id="449" w:name="xdx_844_ecustom--GovernmentGrantsPolicy_"/>
      <w:bookmarkEnd w:id="449"/>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245"/>
        <w:gridCol w:w="16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sz w:val="20"/>
              </w:rPr>
            </w:pPr>
            <w:r>
              <w:rPr>
                <w:b/>
                <w:sz w:val="20"/>
              </w:rPr>
              <w:t>(y)</w:t>
            </w:r>
          </w:p>
        </w:tc>
        <w:tc>
          <w:tcPr>
            <w:tcW w:w="1685" w:type="dxa"/>
            <w:tcBorders/>
            <w:vAlign w:val="center"/>
          </w:tcPr>
          <w:p>
            <w:pPr>
              <w:pStyle w:val="TableContents"/>
              <w:bidi w:val="0"/>
              <w:spacing w:before="0" w:after="283"/>
              <w:jc w:val="left"/>
              <w:rPr>
                <w:b/>
                <w:sz w:val="20"/>
              </w:rPr>
            </w:pPr>
            <w:bookmarkStart w:id="450" w:name="xdx_86C_zjcs9w2Rhe9l"/>
            <w:bookmarkEnd w:id="450"/>
            <w:r>
              <w:rPr>
                <w:b/>
                <w:sz w:val="20"/>
              </w:rPr>
              <w:t>Government grants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are recognized when received and all the conditions for their receipt have been met.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are compensation for expenses or losses already incurred or for the purpose of giving immediate financial support to the Company with no future related cost are recognized in profit or loss in the period in which they become receivable.</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F-18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51" w:name="xdx_844_eus-gaap--EarningsPerSharePolicy"/>
      <w:bookmarkEnd w:id="451"/>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230"/>
        <w:gridCol w:w="16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b/>
                <w:sz w:val="20"/>
              </w:rPr>
            </w:pPr>
            <w:r>
              <w:rPr>
                <w:b/>
                <w:sz w:val="20"/>
              </w:rPr>
              <w:t>(z)</w:t>
            </w:r>
          </w:p>
        </w:tc>
        <w:tc>
          <w:tcPr>
            <w:tcW w:w="1655" w:type="dxa"/>
            <w:tcBorders/>
            <w:vAlign w:val="center"/>
          </w:tcPr>
          <w:p>
            <w:pPr>
              <w:pStyle w:val="TableContents"/>
              <w:bidi w:val="0"/>
              <w:spacing w:before="0" w:after="283"/>
              <w:jc w:val="left"/>
              <w:rPr>
                <w:b/>
                <w:sz w:val="20"/>
              </w:rPr>
            </w:pPr>
            <w:bookmarkStart w:id="452" w:name="xdx_867_zaQZM4juEoGe"/>
            <w:bookmarkEnd w:id="452"/>
            <w:r>
              <w:rPr>
                <w:b/>
                <w:sz w:val="20"/>
              </w:rPr>
              <w:t>Earnings per share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per share (“EPS”) in accordance with ASC 260, “Earnings per Share” (“ASC 260”). ASC 260 requires companies with complex capital structures to present basic and diluted EPS. Basic EPS are computed by dividing income available to ordinary shareholders of the Company by the weighted average ordinary shares outstanding during the period. Diluted EPS takes into account the potential dilution that could occur if securities or other contracts to issue ordinary shares were exercised and converted into ordinary shares. For the calculation of diluted earnings per share, net income attributable to ordinary shareholders for basic earnings per share is adjusted by the effect of dilutive securities, including share-based compensation under the treasury stock method.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classes of ordinary share (Class A and Class B) after the Reclassification (Note 1), the rights, including the liquidation and dividend rights, of the holders of our Ordinary Shares Class A and Ordinary Shares Class B stock are identical, except with respect to voting. Accordingly, earnings per share are calculated based on the combined weighted-average number of shares of both classes outstanding.</w:t>
      </w:r>
    </w:p>
    <w:p>
      <w:pPr>
        <w:pStyle w:val="TextBody"/>
        <w:bidi w:val="0"/>
        <w:jc w:val="both"/>
        <w:rPr>
          <w:caps w:val="false"/>
          <w:smallCaps w:val="false"/>
        </w:rPr>
      </w:pPr>
      <w:bookmarkStart w:id="453" w:name="xdx_848_eus-gaap--ComprehensiveIncomePol"/>
      <w:bookmarkEnd w:id="453"/>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350"/>
        <w:gridCol w:w="206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b/>
                <w:sz w:val="20"/>
              </w:rPr>
            </w:pPr>
            <w:r>
              <w:rPr>
                <w:b/>
                <w:sz w:val="20"/>
              </w:rPr>
              <w:t>(aa)</w:t>
            </w:r>
          </w:p>
        </w:tc>
        <w:tc>
          <w:tcPr>
            <w:tcW w:w="2060" w:type="dxa"/>
            <w:tcBorders/>
            <w:vAlign w:val="center"/>
          </w:tcPr>
          <w:p>
            <w:pPr>
              <w:pStyle w:val="TableContents"/>
              <w:bidi w:val="0"/>
              <w:spacing w:before="0" w:after="283"/>
              <w:jc w:val="left"/>
              <w:rPr>
                <w:b/>
                <w:sz w:val="20"/>
              </w:rPr>
            </w:pPr>
            <w:bookmarkStart w:id="454" w:name="xdx_869_zjgRDPhS7QEh"/>
            <w:bookmarkEnd w:id="454"/>
            <w:r>
              <w:rPr>
                <w:b/>
                <w:sz w:val="20"/>
              </w:rPr>
              <w:t xml:space="preserve">Comprehensive income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includes net income and foreign currency translation adjustments and is presented net of tax.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the components of net income, the components of other comprehensive income and total comprehensive income in two separate but consecutive statements.</w:t>
      </w:r>
    </w:p>
    <w:p>
      <w:pPr>
        <w:pStyle w:val="TextBody"/>
        <w:bidi w:val="0"/>
        <w:jc w:val="both"/>
        <w:rPr>
          <w:caps w:val="false"/>
          <w:smallCaps w:val="false"/>
        </w:rPr>
      </w:pPr>
      <w:bookmarkStart w:id="455" w:name="xdx_841_eus-gaap--IncomeTaxPolicyTextBlo"/>
      <w:bookmarkEnd w:id="455"/>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75"/>
        <w:gridCol w:w="350"/>
        <w:gridCol w:w="119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b/>
                <w:sz w:val="20"/>
              </w:rPr>
            </w:pPr>
            <w:r>
              <w:rPr>
                <w:b/>
                <w:sz w:val="20"/>
              </w:rPr>
              <w:t>(ab)</w:t>
            </w:r>
          </w:p>
        </w:tc>
        <w:tc>
          <w:tcPr>
            <w:tcW w:w="1190" w:type="dxa"/>
            <w:tcBorders/>
            <w:vAlign w:val="center"/>
          </w:tcPr>
          <w:p>
            <w:pPr>
              <w:pStyle w:val="TableContents"/>
              <w:bidi w:val="0"/>
              <w:spacing w:before="0" w:after="283"/>
              <w:jc w:val="left"/>
              <w:rPr>
                <w:b/>
                <w:sz w:val="20"/>
              </w:rPr>
            </w:pPr>
            <w:bookmarkStart w:id="456" w:name="xdx_862_z7wJKtcXi4M1"/>
            <w:bookmarkEnd w:id="456"/>
            <w:r>
              <w:rPr>
                <w:b/>
                <w:sz w:val="20"/>
              </w:rPr>
              <w:t xml:space="preserve">Income taxes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Deferred tax assets and liabilities are determined based on the temporary difference between the financial reporting and tax bases of assets and liabilities, and net operating loss and tax credit carryforwards using enacted tax rates that will be in effect for the period in which the differences are expected to reverse. The Company records a valuation allowance against the amount of deferred tax assets that it determines is not more likely than not of being realized. The effect on deferred taxes of a change in tax rates is recognized in income in the period that includes the enactment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and penalties, if any, within income tax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uncertain tax positions for the six months ended June 30, 2025 and 2026.</w:t>
      </w:r>
    </w:p>
    <w:p>
      <w:pPr>
        <w:pStyle w:val="TextBody"/>
        <w:bidi w:val="0"/>
        <w:jc w:val="both"/>
        <w:rPr>
          <w:caps w:val="false"/>
          <w:smallCaps w:val="false"/>
        </w:rPr>
      </w:pPr>
      <w:bookmarkStart w:id="457" w:name="xdx_843_eus-gaap--SegmentReportingPolicy"/>
      <w:bookmarkEnd w:id="457"/>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335"/>
        <w:gridCol w:w="165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b/>
                <w:sz w:val="20"/>
              </w:rPr>
            </w:pPr>
            <w:r>
              <w:rPr>
                <w:b/>
                <w:sz w:val="20"/>
              </w:rPr>
              <w:t>(ac)</w:t>
            </w:r>
          </w:p>
        </w:tc>
        <w:tc>
          <w:tcPr>
            <w:tcW w:w="1655" w:type="dxa"/>
            <w:tcBorders/>
            <w:vAlign w:val="center"/>
          </w:tcPr>
          <w:p>
            <w:pPr>
              <w:pStyle w:val="TableContents"/>
              <w:bidi w:val="0"/>
              <w:spacing w:before="0" w:after="283"/>
              <w:jc w:val="left"/>
              <w:rPr>
                <w:b/>
                <w:sz w:val="20"/>
              </w:rPr>
            </w:pPr>
            <w:bookmarkStart w:id="458" w:name="xdx_86D_zoteKeVSmUr5"/>
            <w:bookmarkEnd w:id="458"/>
            <w:r>
              <w:rPr>
                <w:b/>
                <w:sz w:val="20"/>
              </w:rPr>
              <w:t xml:space="preserve">Segment reporting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280, “Segment Reporting”, establishes standards for reporting information about operating segments on a basis consistent with the Company’s internal organizational structure as well as information of the Company’s business segments, geographical areas, segments and major customers.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The chief operating decision maker (“CODM”) is the Company’s president and Chief Executive Officer (“CEO”), relies upon the consolidated results of operations as a whole when making decisions about allocating resources and assessing the performance of the Company. As a result of the assessment made by CODM, the Company has only one reportable segment.</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F-19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59" w:name="xdx_84A_eus-gaap--CommitmentsAndContinge"/>
      <w:bookmarkEnd w:id="459"/>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350"/>
        <w:gridCol w:w="276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b/>
                <w:sz w:val="20"/>
              </w:rPr>
            </w:pPr>
            <w:r>
              <w:rPr>
                <w:b/>
                <w:sz w:val="20"/>
              </w:rPr>
              <w:t>(ad)</w:t>
            </w:r>
          </w:p>
        </w:tc>
        <w:tc>
          <w:tcPr>
            <w:tcW w:w="2765" w:type="dxa"/>
            <w:tcBorders/>
            <w:vAlign w:val="center"/>
          </w:tcPr>
          <w:p>
            <w:pPr>
              <w:pStyle w:val="TableContents"/>
              <w:bidi w:val="0"/>
              <w:spacing w:before="0" w:after="283"/>
              <w:jc w:val="left"/>
              <w:rPr>
                <w:b/>
                <w:sz w:val="20"/>
              </w:rPr>
            </w:pPr>
            <w:bookmarkStart w:id="460" w:name="xdx_869_zXvtAhwZMZG9"/>
            <w:bookmarkEnd w:id="460"/>
            <w:r>
              <w:rPr>
                <w:b/>
                <w:sz w:val="20"/>
              </w:rPr>
              <w:t>Commitments and contingencies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commitments and contingencies, including operating and financing lease commitments and legal proceedings. The Company recognizes a liability for such contingency if it determines it is probable that a loss has occurred and a reasonable estimate of the loss can be made. The Company may consider many factors in making these assessments on liability for contingencies, including historical and the specific facts and circumstances of each matter.</w:t>
      </w:r>
    </w:p>
    <w:p>
      <w:pPr>
        <w:pStyle w:val="TextBody"/>
        <w:bidi w:val="0"/>
        <w:jc w:val="both"/>
        <w:rPr>
          <w:caps w:val="false"/>
          <w:smallCaps w:val="false"/>
        </w:rPr>
      </w:pPr>
      <w:bookmarkStart w:id="461" w:name="xdx_841_ecustom--NoncontrollingInterests"/>
      <w:bookmarkEnd w:id="461"/>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35"/>
        <w:gridCol w:w="210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b/>
                <w:sz w:val="20"/>
              </w:rPr>
            </w:pPr>
            <w:r>
              <w:rPr>
                <w:b/>
                <w:sz w:val="20"/>
              </w:rPr>
              <w:t>(ae)</w:t>
            </w:r>
          </w:p>
        </w:tc>
        <w:tc>
          <w:tcPr>
            <w:tcW w:w="2105" w:type="dxa"/>
            <w:tcBorders/>
            <w:vAlign w:val="center"/>
          </w:tcPr>
          <w:p>
            <w:pPr>
              <w:pStyle w:val="TableContents"/>
              <w:bidi w:val="0"/>
              <w:spacing w:before="0" w:after="283"/>
              <w:jc w:val="left"/>
              <w:rPr>
                <w:b/>
                <w:sz w:val="20"/>
              </w:rPr>
            </w:pPr>
            <w:bookmarkStart w:id="462" w:name="xdx_862_zpffILymZBR3"/>
            <w:bookmarkEnd w:id="462"/>
            <w:r>
              <w:rPr>
                <w:b/>
                <w:sz w:val="20"/>
              </w:rPr>
              <w:t xml:space="preserve">Non-controlling interest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represent the interest of non-controlling shareholders in the subsidiaries based on their proportionate interests in the equity of that company adjusted for its proportionate share of income or losses from operations. Non-controlling interests have been reported as a component of equity in the unaudited condensed consolidated balance sheets and unaudited condensed consolidated statements of changes of equity and comprehensive income for all periods presented.</w:t>
      </w:r>
    </w:p>
    <w:p>
      <w:pPr>
        <w:pStyle w:val="TextBody"/>
        <w:bidi w:val="0"/>
        <w:jc w:val="both"/>
        <w:rPr>
          <w:caps w:val="false"/>
          <w:smallCaps w:val="false"/>
        </w:rPr>
      </w:pPr>
      <w:bookmarkStart w:id="463" w:name="xdx_84B_eus-gaap--CompensationRelatedCos"/>
      <w:bookmarkEnd w:id="463"/>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305"/>
        <w:gridCol w:w="237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b/>
                <w:sz w:val="20"/>
              </w:rPr>
            </w:pPr>
            <w:r>
              <w:rPr>
                <w:b/>
                <w:sz w:val="20"/>
              </w:rPr>
              <w:t>(af)</w:t>
            </w:r>
          </w:p>
        </w:tc>
        <w:tc>
          <w:tcPr>
            <w:tcW w:w="2375" w:type="dxa"/>
            <w:tcBorders/>
            <w:vAlign w:val="center"/>
          </w:tcPr>
          <w:p>
            <w:pPr>
              <w:pStyle w:val="TableContents"/>
              <w:bidi w:val="0"/>
              <w:spacing w:before="0" w:after="283"/>
              <w:jc w:val="left"/>
              <w:rPr>
                <w:b/>
                <w:sz w:val="20"/>
              </w:rPr>
            </w:pPr>
            <w:bookmarkStart w:id="464" w:name="xdx_86F_z7vID71mSqxg"/>
            <w:bookmarkEnd w:id="464"/>
            <w:r>
              <w:rPr>
                <w:b/>
                <w:sz w:val="20"/>
              </w:rPr>
              <w:t xml:space="preserve">Share-based Compensation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718, Compensation—Stock Compensation (“ASC 718”), to account for all of its share-based payments, including awards granted to employees and nonemployees. In accordance with ASC 718, the Company determines whether an award should be classified and accounted for as a liability award or equity award. All the Company’s grants of share-based awards were classified as equity awards and are recognized based on their grant date fair values.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service-based awards, expense is recognized over the respective service periods. For performance-based awards, expense is recognized only when achievement of the performance targets is considered probable. Share-based compensation expense is included in selling and marketing and general and administrative expenses. Forfeitures of equity awards are recognized as incurred.</w:t>
      </w:r>
    </w:p>
    <w:p>
      <w:pPr>
        <w:pStyle w:val="TextBody"/>
        <w:bidi w:val="0"/>
        <w:jc w:val="both"/>
        <w:rPr>
          <w:caps w:val="false"/>
          <w:smallCaps w:val="false"/>
        </w:rPr>
      </w:pPr>
      <w:bookmarkStart w:id="465" w:name="xdx_840_eus-gaap--NewAccountingPronounce"/>
      <w:bookmarkEnd w:id="465"/>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350"/>
        <w:gridCol w:w="302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b/>
                <w:sz w:val="20"/>
              </w:rPr>
            </w:pPr>
            <w:r>
              <w:rPr>
                <w:b/>
                <w:sz w:val="20"/>
              </w:rPr>
              <w:t>(ag)</w:t>
            </w:r>
          </w:p>
        </w:tc>
        <w:tc>
          <w:tcPr>
            <w:tcW w:w="3020" w:type="dxa"/>
            <w:tcBorders/>
            <w:vAlign w:val="center"/>
          </w:tcPr>
          <w:p>
            <w:pPr>
              <w:pStyle w:val="TableContents"/>
              <w:bidi w:val="0"/>
              <w:spacing w:before="0" w:after="283"/>
              <w:jc w:val="left"/>
              <w:rPr>
                <w:b/>
                <w:sz w:val="20"/>
              </w:rPr>
            </w:pPr>
            <w:bookmarkStart w:id="466" w:name="xdx_866_zbMBRR0Q30R4"/>
            <w:bookmarkEnd w:id="466"/>
            <w:r>
              <w:rPr>
                <w:b/>
                <w:sz w:val="20"/>
              </w:rPr>
              <w:t>Recent accounting pronouncements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Losses—Measurement of Credit Losses for Accounts Receivable and Contract Assets. The ASU provides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For practical expedient, in developing reasonable and supportable forecasts as part of estimating expected credit losses, all entities may elect a practical expedient that assumes that current conditions as of the balance sheet date do not change for the remaining life of the asset. For accounting policy election, an entity other than a public business entity that elects the practical expedient is permitted to make an accounting policy election to consider collection activity after the balance sheet date when estimating expected credit losses. The ASU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on January 1, 2026, which did not have a material impact on measurement of expected credit losses for accounts receivable.</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F-20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67" w:name="xdx_233_zyEB3wpzfUck"/>
      <w:bookmarkEnd w:id="467"/>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 not yet adopted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The amendments in the ASU are expected to clarify or improve disclosure and presentation requirements of a variety of Codification Topics, allow users to compare entities subject more easily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is currently evaluating the impact the adoption of ASU 2023-06 will have on its future consolidated financial statements and related disclosures.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which requires detailed disclosures in the notes to financial statements disaggregating specific expense categories and certain other disclosures to provide enhanced transparency into the nature and function of expenses. The FASB further clarified the effective date in January 2025 with the issuance of ASU 2025-01, Income Statement — Reporting Comprehensive Income — Expense Disaggregation Disclosures (Subtopic 220-40): Clarifying the Effective Date. ASU 2024-03 is effective for annual periods beginning after December 15, 2026, and interim periods within annual reporting periods beginning after December 15, 2027, with early adoption permitted. The requirements should be applied on a prospective basis while retrospective application is permitted. The Company does not expect to adopt this guidance early and does not expect the adoption of this ASU to have a material impact on its future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ASUs by the FASB but not yet effective accounting statements, if adopted, would have a material effect on the Company’s future consolidated balance sheets, statements of comprehensive income and statements of cash flows.</w:t>
      </w:r>
    </w:p>
    <w:p>
      <w:pPr>
        <w:pStyle w:val="TextBody"/>
        <w:bidi w:val="0"/>
        <w:jc w:val="both"/>
        <w:rPr>
          <w:caps w:val="false"/>
          <w:smallCaps w:val="false"/>
        </w:rPr>
      </w:pPr>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468" w:name="xdx_80A_eus-gaap--AccountsAndNontradeRec"/>
      <w:bookmarkEnd w:id="468"/>
      <w:r>
        <w:rPr>
          <w:rFonts w:ascii="Times New Roman;Times;Serif" w:hAnsi="Times New Roman;Times;Serif"/>
          <w:b/>
          <w:i w:val="false"/>
          <w:caps w:val="false"/>
          <w:smallCaps w:val="false"/>
          <w:sz w:val="20"/>
        </w:rPr>
        <w:t xml:space="preserve">3. </w:t>
      </w:r>
      <w:bookmarkStart w:id="469" w:name="xdx_825_zlzmZnzUQ5Ea"/>
      <w:bookmarkEnd w:id="469"/>
      <w:r>
        <w:rPr>
          <w:rFonts w:ascii="Times New Roman;Times;Serif" w:hAnsi="Times New Roman;Times;Serif"/>
          <w:b/>
          <w:i w:val="false"/>
          <w:caps w:val="false"/>
          <w:smallCaps w:val="false"/>
          <w:sz w:val="20"/>
        </w:rPr>
        <w:t>ACCOUNTS RECEIVABLE, NET</w:t>
      </w:r>
    </w:p>
    <w:p>
      <w:pPr>
        <w:pStyle w:val="TextBody"/>
        <w:bidi w:val="0"/>
        <w:ind w:left="647" w:right="0" w:hanging="647"/>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consists of following balance:</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70" w:name="xdx_89F_eus-gaap--ScheduleOfAccountsNote"/>
      <w:bookmarkStart w:id="471" w:name="xdx_89F_eus-gaap--ScheduleOfAccountsNote"/>
      <w:bookmarkEnd w:id="471"/>
    </w:p>
    <w:tbl>
      <w:tblPr>
        <w:tblW w:w="7047" w:type="dxa"/>
        <w:jc w:val="left"/>
        <w:tblInd w:w="0" w:type="dxa"/>
        <w:tblLayout w:type="fixed"/>
        <w:tblCellMar>
          <w:top w:w="0" w:type="dxa"/>
          <w:left w:w="0" w:type="dxa"/>
          <w:bottom w:w="0" w:type="dxa"/>
          <w:right w:w="0" w:type="dxa"/>
        </w:tblCellMar>
      </w:tblPr>
      <w:tblGrid>
        <w:gridCol w:w="3545"/>
        <w:gridCol w:w="60"/>
        <w:gridCol w:w="96"/>
        <w:gridCol w:w="1762"/>
        <w:gridCol w:w="96"/>
        <w:gridCol w:w="60"/>
        <w:gridCol w:w="69"/>
        <w:gridCol w:w="1273"/>
        <w:gridCol w:w="86"/>
      </w:tblGrid>
      <w:tr>
        <w:trPr/>
        <w:tc>
          <w:tcPr>
            <w:tcW w:w="3545" w:type="dxa"/>
            <w:tcBorders/>
            <w:vAlign w:val="center"/>
          </w:tcPr>
          <w:p>
            <w:pPr>
              <w:pStyle w:val="TableContents"/>
              <w:bidi w:val="0"/>
              <w:spacing w:before="0" w:after="283"/>
              <w:ind w:left="0" w:right="0" w:hanging="200"/>
              <w:jc w:val="center"/>
              <w:rPr/>
            </w:pPr>
            <w:bookmarkStart w:id="472" w:name="xdx_8B5_z0DiTW2Eze67"/>
            <w:bookmarkEnd w:id="472"/>
            <w:r>
              <w:rPr/>
              <w:t>Schedule of Accounts receivable, net</w:t>
            </w:r>
          </w:p>
        </w:tc>
        <w:tc>
          <w:tcPr>
            <w:tcW w:w="60" w:type="dxa"/>
            <w:tcBorders/>
            <w:vAlign w:val="center"/>
          </w:tcPr>
          <w:p>
            <w:pPr>
              <w:pStyle w:val="TableContents"/>
              <w:bidi w:val="0"/>
              <w:spacing w:before="0" w:after="283"/>
              <w:jc w:val="left"/>
              <w:rPr/>
            </w:pPr>
            <w:r>
              <w:rPr/>
              <w:t> </w:t>
            </w:r>
            <w:bookmarkStart w:id="473" w:name="xdx_494_20251231_zBUsiTe03mpc"/>
            <w:bookmarkEnd w:id="473"/>
          </w:p>
        </w:tc>
        <w:tc>
          <w:tcPr>
            <w:tcW w:w="1954"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74" w:name="xdx_491_20260630_zqRQCvWb6bHl"/>
            <w:bookmarkEnd w:id="474"/>
          </w:p>
        </w:tc>
        <w:tc>
          <w:tcPr>
            <w:tcW w:w="1428" w:type="dxa"/>
            <w:gridSpan w:val="3"/>
            <w:tcBorders/>
            <w:vAlign w:val="center"/>
          </w:tcPr>
          <w:p>
            <w:pPr>
              <w:pStyle w:val="TableContents"/>
              <w:bidi w:val="0"/>
              <w:spacing w:before="0" w:after="283"/>
              <w:ind w:left="0" w:right="0" w:hanging="200"/>
              <w:jc w:val="center"/>
              <w:rPr/>
            </w:pPr>
            <w:r>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4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42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$US</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(Unaudited)</w:t>
            </w:r>
            <w:bookmarkStart w:id="475" w:name="xdx_40D_eus-gaap--AccountsReceivableGros"/>
            <w:bookmarkEnd w:id="475"/>
          </w:p>
        </w:tc>
      </w:tr>
      <w:tr>
        <w:trPr/>
        <w:tc>
          <w:tcPr>
            <w:tcW w:w="3545"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2" w:type="dxa"/>
            <w:tcBorders/>
            <w:shd w:fill="CCEEFF" w:val="clear"/>
            <w:vAlign w:val="center"/>
          </w:tcPr>
          <w:p>
            <w:pPr>
              <w:pStyle w:val="TableContents"/>
              <w:bidi w:val="0"/>
              <w:spacing w:before="0" w:after="283"/>
              <w:jc w:val="right"/>
              <w:rPr/>
            </w:pPr>
            <w:r>
              <w:rPr/>
              <w:t>16,111,717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15,785,944</w:t>
            </w:r>
          </w:p>
        </w:tc>
        <w:tc>
          <w:tcPr>
            <w:tcW w:w="86" w:type="dxa"/>
            <w:tcBorders/>
            <w:shd w:fill="CCEEFF" w:val="clear"/>
            <w:vAlign w:val="center"/>
          </w:tcPr>
          <w:p>
            <w:pPr>
              <w:pStyle w:val="TableContents"/>
              <w:bidi w:val="0"/>
              <w:spacing w:before="0" w:after="283"/>
              <w:ind w:left="0" w:right="0" w:hanging="200"/>
              <w:jc w:val="left"/>
              <w:rPr/>
            </w:pPr>
            <w:r>
              <w:rPr/>
              <w:t> </w:t>
            </w:r>
            <w:bookmarkStart w:id="476" w:name="xdx_404_eus-gaap--AllowanceForDoubtfulAc"/>
            <w:bookmarkEnd w:id="476"/>
          </w:p>
        </w:tc>
      </w:tr>
      <w:tr>
        <w:trPr/>
        <w:tc>
          <w:tcPr>
            <w:tcW w:w="3545" w:type="dxa"/>
            <w:tcBorders/>
            <w:shd w:fill="FFFFFF" w:val="clear"/>
            <w:vAlign w:val="center"/>
          </w:tcPr>
          <w:p>
            <w:pPr>
              <w:pStyle w:val="TableContents"/>
              <w:bidi w:val="0"/>
              <w:spacing w:before="0" w:after="283"/>
              <w:jc w:val="left"/>
              <w:rPr/>
            </w:pPr>
            <w:r>
              <w:rPr/>
              <w:t>Less: provision for credit loss</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62" w:type="dxa"/>
            <w:tcBorders>
              <w:bottom w:val="single" w:sz="8" w:space="0" w:color="000000"/>
            </w:tcBorders>
            <w:shd w:fill="FFFFFF" w:val="clear"/>
            <w:tcMar>
              <w:bottom w:w="28" w:type="dxa"/>
            </w:tcMar>
            <w:vAlign w:val="center"/>
          </w:tcPr>
          <w:p>
            <w:pPr>
              <w:pStyle w:val="TableContents"/>
              <w:bidi w:val="0"/>
              <w:spacing w:before="0" w:after="283"/>
              <w:jc w:val="right"/>
              <w:rPr/>
            </w:pPr>
            <w:r>
              <w:rPr/>
              <w:t>137,041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FFFFFF" w:val="clear"/>
            <w:tcMar>
              <w:bottom w:w="28" w:type="dxa"/>
            </w:tcMar>
            <w:vAlign w:val="center"/>
          </w:tcPr>
          <w:p>
            <w:pPr>
              <w:pStyle w:val="TableContents"/>
              <w:bidi w:val="0"/>
              <w:spacing w:before="0" w:after="283"/>
              <w:jc w:val="right"/>
              <w:rPr/>
            </w:pPr>
            <w:r>
              <w:rPr/>
              <w:t>141,243</w:t>
            </w:r>
          </w:p>
        </w:tc>
        <w:tc>
          <w:tcPr>
            <w:tcW w:w="86" w:type="dxa"/>
            <w:tcBorders/>
            <w:shd w:fill="FFFFFF" w:val="clear"/>
            <w:vAlign w:val="center"/>
          </w:tcPr>
          <w:p>
            <w:pPr>
              <w:pStyle w:val="TableContents"/>
              <w:bidi w:val="0"/>
              <w:spacing w:before="0" w:after="283"/>
              <w:ind w:left="0" w:right="0" w:hanging="200"/>
              <w:jc w:val="left"/>
              <w:rPr/>
            </w:pPr>
            <w:r>
              <w:rPr/>
              <w:t> </w:t>
            </w:r>
            <w:bookmarkStart w:id="477" w:name="xdx_40A_eus-gaap--AccountsReceivableNet_"/>
            <w:bookmarkEnd w:id="477"/>
          </w:p>
        </w:tc>
      </w:tr>
      <w:tr>
        <w:trPr/>
        <w:tc>
          <w:tcPr>
            <w:tcW w:w="3545" w:type="dxa"/>
            <w:tcBorders/>
            <w:shd w:fill="CCEEFF" w:val="clear"/>
            <w:vAlign w:val="center"/>
          </w:tcPr>
          <w:p>
            <w:pPr>
              <w:pStyle w:val="TableContents"/>
              <w:bidi w:val="0"/>
              <w:spacing w:before="0" w:after="283"/>
              <w:jc w:val="left"/>
              <w:rPr>
                <w:b/>
              </w:rPr>
            </w:pPr>
            <w:r>
              <w:rPr>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6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15,974,676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15,644,701</w:t>
            </w:r>
          </w:p>
        </w:tc>
        <w:tc>
          <w:tcPr>
            <w:tcW w:w="86"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478" w:name="xdx_8AF_zSLt1aMymfXg"/>
      <w:bookmarkEnd w:id="47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2026, there was </w:t>
      </w:r>
      <w:bookmarkStart w:id="479" w:name="xdx_90E_ecustom--AccountsReceivable_iI_d"/>
      <w:bookmarkStart w:id="480" w:name="xdx_906_ecustom--AccountsReceivable_iI_d"/>
      <w:bookmarkEnd w:id="479"/>
      <w:bookmarkEnd w:id="480"/>
      <w:r>
        <w:rPr>
          <w:rFonts w:ascii="Times New Roman;Times;Serif" w:hAnsi="Times New Roman;Times;Serif"/>
          <w:b w:val="false"/>
          <w:i w:val="false"/>
          <w:caps w:val="false"/>
          <w:smallCaps w:val="false"/>
          <w:sz w:val="20"/>
        </w:rPr>
        <w:t>no accounts receivable pledged.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movements of provision for credit losses are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81" w:name="xdx_89A_eus-gaap--AccountsReceivableAllo"/>
      <w:bookmarkStart w:id="482" w:name="xdx_89A_eus-gaap--AccountsReceivableAllo"/>
      <w:bookmarkEnd w:id="482"/>
    </w:p>
    <w:tbl>
      <w:tblPr>
        <w:tblW w:w="7392" w:type="dxa"/>
        <w:jc w:val="left"/>
        <w:tblInd w:w="0" w:type="dxa"/>
        <w:tblLayout w:type="fixed"/>
        <w:tblCellMar>
          <w:top w:w="0" w:type="dxa"/>
          <w:left w:w="0" w:type="dxa"/>
          <w:bottom w:w="0" w:type="dxa"/>
          <w:right w:w="0" w:type="dxa"/>
        </w:tblCellMar>
      </w:tblPr>
      <w:tblGrid>
        <w:gridCol w:w="3890"/>
        <w:gridCol w:w="60"/>
        <w:gridCol w:w="122"/>
        <w:gridCol w:w="1636"/>
        <w:gridCol w:w="196"/>
        <w:gridCol w:w="60"/>
        <w:gridCol w:w="91"/>
        <w:gridCol w:w="1223"/>
        <w:gridCol w:w="114"/>
      </w:tblGrid>
      <w:tr>
        <w:trPr/>
        <w:tc>
          <w:tcPr>
            <w:tcW w:w="3890" w:type="dxa"/>
            <w:tcBorders/>
            <w:shd w:fill="FFFFFF" w:val="clear"/>
            <w:vAlign w:val="center"/>
          </w:tcPr>
          <w:p>
            <w:pPr>
              <w:pStyle w:val="TableContents"/>
              <w:bidi w:val="0"/>
              <w:spacing w:before="0" w:after="283"/>
              <w:ind w:left="0" w:right="0" w:hanging="200"/>
              <w:jc w:val="left"/>
              <w:rPr/>
            </w:pPr>
            <w:bookmarkStart w:id="483" w:name="xdx_8B8_z3d4OajPDGgd"/>
            <w:bookmarkEnd w:id="483"/>
            <w:r>
              <w:rPr/>
              <w:t>Schedule of provision for credit losses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4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42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$US</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(Unaudited)</w:t>
            </w:r>
          </w:p>
        </w:tc>
      </w:tr>
      <w:tr>
        <w:trPr/>
        <w:tc>
          <w:tcPr>
            <w:tcW w:w="3890" w:type="dxa"/>
            <w:tcBorders/>
            <w:shd w:fill="CCEEFF" w:val="clear"/>
            <w:vAlign w:val="center"/>
          </w:tcPr>
          <w:p>
            <w:pPr>
              <w:pStyle w:val="TableContents"/>
              <w:bidi w:val="0"/>
              <w:spacing w:before="0" w:after="283"/>
              <w:jc w:val="left"/>
              <w:rPr>
                <w:b/>
              </w:rPr>
            </w:pPr>
            <w:r>
              <w:rPr>
                <w:b/>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bookmarkStart w:id="484" w:name="xdx_986_eus-gaap--AllowanceForDoubtfulAc"/>
            <w:bookmarkEnd w:id="484"/>
          </w:p>
        </w:tc>
        <w:tc>
          <w:tcPr>
            <w:tcW w:w="1636" w:type="dxa"/>
            <w:tcBorders/>
            <w:shd w:fill="CCEEFF" w:val="clear"/>
            <w:vAlign w:val="center"/>
          </w:tcPr>
          <w:p>
            <w:pPr>
              <w:pStyle w:val="TableContents"/>
              <w:bidi w:val="0"/>
              <w:spacing w:before="0" w:after="283"/>
              <w:jc w:val="right"/>
              <w:rPr/>
            </w:pPr>
            <w:r>
              <w:rPr/>
              <w:t>18,431</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485" w:name="xdx_98B_eus-gaap--AllowanceForDoubtfulAc"/>
            <w:bookmarkEnd w:id="485"/>
          </w:p>
        </w:tc>
        <w:tc>
          <w:tcPr>
            <w:tcW w:w="1223" w:type="dxa"/>
            <w:tcBorders/>
            <w:shd w:fill="CCEEFF" w:val="clear"/>
            <w:vAlign w:val="center"/>
          </w:tcPr>
          <w:p>
            <w:pPr>
              <w:pStyle w:val="TableContents"/>
              <w:bidi w:val="0"/>
              <w:spacing w:before="0" w:after="283"/>
              <w:jc w:val="right"/>
              <w:rPr/>
            </w:pPr>
            <w:r>
              <w:rPr/>
              <w:t>137,041</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3890" w:type="dxa"/>
            <w:tcBorders/>
            <w:shd w:fill="FFFFFF" w:val="clear"/>
            <w:vAlign w:val="center"/>
          </w:tcPr>
          <w:p>
            <w:pPr>
              <w:pStyle w:val="TableContents"/>
              <w:bidi w:val="0"/>
              <w:spacing w:before="0" w:after="283"/>
              <w:jc w:val="left"/>
              <w:rPr/>
            </w:pPr>
            <w:r>
              <w:rPr/>
              <w:t>Provision for the period</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bookmarkStart w:id="486" w:name="xdx_989_ecustom--AllowanceForDoubtfulAcc"/>
            <w:bookmarkEnd w:id="486"/>
          </w:p>
        </w:tc>
        <w:tc>
          <w:tcPr>
            <w:tcW w:w="1636" w:type="dxa"/>
            <w:tcBorders/>
            <w:shd w:fill="FFFFFF" w:val="clear"/>
            <w:vAlign w:val="center"/>
          </w:tcPr>
          <w:p>
            <w:pPr>
              <w:pStyle w:val="TableContents"/>
              <w:bidi w:val="0"/>
              <w:spacing w:before="0" w:after="283"/>
              <w:jc w:val="right"/>
              <w:rPr/>
            </w:pPr>
            <w:r>
              <w:rPr/>
              <w:t>116,036</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487" w:name="xdx_980_ecustom--AllowanceForDoubtfulAcc"/>
            <w:bookmarkEnd w:id="487"/>
          </w:p>
        </w:tc>
        <w:tc>
          <w:tcPr>
            <w:tcW w:w="1223"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890" w:type="dxa"/>
            <w:tcBorders/>
            <w:shd w:fill="CCEEFF" w:val="clear"/>
            <w:vAlign w:val="center"/>
          </w:tcPr>
          <w:p>
            <w:pPr>
              <w:pStyle w:val="TableContents"/>
              <w:bidi w:val="0"/>
              <w:spacing w:before="0" w:after="283"/>
              <w:jc w:val="left"/>
              <w:rPr/>
            </w:pPr>
            <w:r>
              <w:rPr/>
              <w:t>Write-off of credit loss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bookmarkStart w:id="488" w:name="xdx_988_ecustom--CreditLossReversal_iN_d"/>
            <w:bookmarkEnd w:id="488"/>
          </w:p>
        </w:tc>
        <w:tc>
          <w:tcPr>
            <w:tcW w:w="1636" w:type="dxa"/>
            <w:tcBorders/>
            <w:shd w:fill="CCEEFF" w:val="clear"/>
            <w:vAlign w:val="center"/>
          </w:tcPr>
          <w:p>
            <w:pPr>
              <w:pStyle w:val="TableContents"/>
              <w:bidi w:val="0"/>
              <w:spacing w:before="0" w:after="283"/>
              <w:jc w:val="right"/>
              <w:rPr/>
            </w:pPr>
            <w:r>
              <w:rPr/>
              <w:t>(1,152</w:t>
            </w:r>
          </w:p>
        </w:tc>
        <w:tc>
          <w:tcPr>
            <w:tcW w:w="1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489" w:name="xdx_98E_ecustom--CreditLossReversal_iN_d"/>
            <w:bookmarkEnd w:id="489"/>
          </w:p>
        </w:tc>
        <w:tc>
          <w:tcPr>
            <w:tcW w:w="1223"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389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0" w:name="xdx_981_ecustom--ForeignCurrencyTranslat"/>
            <w:bookmarkEnd w:id="490"/>
          </w:p>
        </w:tc>
        <w:tc>
          <w:tcPr>
            <w:tcW w:w="1636" w:type="dxa"/>
            <w:tcBorders>
              <w:bottom w:val="single" w:sz="8" w:space="0" w:color="000000"/>
            </w:tcBorders>
            <w:shd w:fill="FFFFFF" w:val="clear"/>
            <w:tcMar>
              <w:bottom w:w="28" w:type="dxa"/>
            </w:tcMar>
            <w:vAlign w:val="center"/>
          </w:tcPr>
          <w:p>
            <w:pPr>
              <w:pStyle w:val="TableContents"/>
              <w:bidi w:val="0"/>
              <w:spacing w:before="0" w:after="283"/>
              <w:jc w:val="right"/>
              <w:rPr/>
            </w:pPr>
            <w:r>
              <w:rPr/>
              <w:t>3,726</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1" w:name="xdx_98D_ecustom--ForeignCurrencyTranslat"/>
            <w:bookmarkEnd w:id="491"/>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4,202</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890" w:type="dxa"/>
            <w:tcBorders/>
            <w:shd w:fill="CCEEFF" w:val="clear"/>
            <w:vAlign w:val="center"/>
          </w:tcPr>
          <w:p>
            <w:pPr>
              <w:pStyle w:val="TableContents"/>
              <w:bidi w:val="0"/>
              <w:spacing w:before="0" w:after="283"/>
              <w:jc w:val="left"/>
              <w:rPr>
                <w:b/>
              </w:rPr>
            </w:pPr>
            <w:r>
              <w:rPr>
                <w:b/>
              </w:rPr>
              <w:t>Balance at the end of the period</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92" w:name="xdx_98F_eus-gaap--AllowanceForDoubtfulAc"/>
            <w:bookmarkEnd w:id="492"/>
          </w:p>
        </w:tc>
        <w:tc>
          <w:tcPr>
            <w:tcW w:w="163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137,041</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93" w:name="xdx_989_eus-gaap--AllowanceForDoubtfulAc"/>
            <w:bookmarkEnd w:id="493"/>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141,243</w:t>
            </w:r>
          </w:p>
        </w:tc>
        <w:tc>
          <w:tcPr>
            <w:tcW w:w="114" w:type="dxa"/>
            <w:tcBorders/>
            <w:shd w:fill="CCEEFF" w:val="clear"/>
            <w:vAlign w:val="center"/>
          </w:tcPr>
          <w:p>
            <w:pPr>
              <w:pStyle w:val="TableContents"/>
              <w:bidi w:val="0"/>
              <w:spacing w:before="0" w:after="283"/>
              <w:jc w:val="left"/>
              <w:rPr/>
            </w:pPr>
            <w:r>
              <w:rPr/>
              <w:t> </w:t>
            </w:r>
          </w:p>
        </w:tc>
      </w:tr>
    </w:tbl>
    <w:p>
      <w:pPr>
        <w:pStyle w:val="TextBody"/>
        <w:bidi w:val="0"/>
        <w:ind w:left="647" w:right="0" w:hanging="647"/>
        <w:jc w:val="both"/>
        <w:rPr>
          <w:caps w:val="false"/>
          <w:smallCaps w:val="false"/>
        </w:rPr>
      </w:pPr>
      <w:bookmarkStart w:id="494" w:name="xdx_8A9_zRMmwIy3w2g2"/>
      <w:bookmarkEnd w:id="49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F-21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647" w:right="0" w:hanging="647"/>
        <w:jc w:val="both"/>
        <w:rPr>
          <w:caps w:val="false"/>
          <w:smallCaps w:val="false"/>
        </w:rPr>
      </w:pPr>
      <w:bookmarkStart w:id="495" w:name="xdx_23B_zwpUQ4OCUWgj"/>
      <w:bookmarkEnd w:id="495"/>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496" w:name="xdx_80A_ecustom--PrepaidExpensesOtherCur"/>
      <w:bookmarkEnd w:id="496"/>
      <w:r>
        <w:rPr>
          <w:rFonts w:ascii="Times New Roman;Times;Serif" w:hAnsi="Times New Roman;Times;Serif"/>
          <w:b/>
          <w:i w:val="false"/>
          <w:caps w:val="false"/>
          <w:smallCaps w:val="false"/>
          <w:sz w:val="20"/>
        </w:rPr>
        <w:t xml:space="preserve">4. </w:t>
      </w:r>
      <w:bookmarkStart w:id="497" w:name="xdx_824_zth4fobtzxf1"/>
      <w:bookmarkEnd w:id="497"/>
      <w:r>
        <w:rPr>
          <w:rFonts w:ascii="Times New Roman;Times;Serif" w:hAnsi="Times New Roman;Times;Serif"/>
          <w:b/>
          <w:i w:val="false"/>
          <w:caps w:val="false"/>
          <w:smallCaps w:val="false"/>
          <w:sz w:val="20"/>
        </w:rPr>
        <w:t>PREPAID EXPENSES AND OTHER CURRENT ASSETS, NET</w:t>
      </w:r>
    </w:p>
    <w:p>
      <w:pPr>
        <w:pStyle w:val="TextBody"/>
        <w:bidi w:val="0"/>
        <w:ind w:left="647" w:right="0" w:hanging="647"/>
        <w:jc w:val="both"/>
        <w:rPr>
          <w:caps w:val="false"/>
          <w:smallCaps w:val="false"/>
        </w:rPr>
      </w:pPr>
      <w:r>
        <w:rPr>
          <w:caps w:val="false"/>
          <w:smallCaps w:val="false"/>
        </w:rPr>
        <w:t> </w:t>
      </w:r>
    </w:p>
    <w:p>
      <w:pPr>
        <w:pStyle w:val="Normal"/>
        <w:bidi w:val="0"/>
        <w:spacing w:before="0" w:after="0"/>
        <w:ind w:left="647" w:right="0" w:hanging="647"/>
        <w:jc w:val="left"/>
        <w:rPr>
          <w:sz w:val="4"/>
          <w:szCs w:val="4"/>
        </w:rPr>
      </w:pPr>
      <w:r>
        <w:rPr>
          <w:sz w:val="4"/>
          <w:szCs w:val="4"/>
        </w:rPr>
      </w:r>
      <w:bookmarkStart w:id="498" w:name="xdx_89D_eus-gaap--DeferredCostsCapitaliz"/>
      <w:bookmarkStart w:id="499" w:name="xdx_89D_eus-gaap--DeferredCostsCapitaliz"/>
      <w:bookmarkEnd w:id="499"/>
    </w:p>
    <w:tbl>
      <w:tblPr>
        <w:tblW w:w="9027" w:type="dxa"/>
        <w:jc w:val="left"/>
        <w:tblInd w:w="0" w:type="dxa"/>
        <w:tblLayout w:type="fixed"/>
        <w:tblCellMar>
          <w:top w:w="0" w:type="dxa"/>
          <w:left w:w="0" w:type="dxa"/>
          <w:bottom w:w="0" w:type="dxa"/>
          <w:right w:w="0" w:type="dxa"/>
        </w:tblCellMar>
      </w:tblPr>
      <w:tblGrid>
        <w:gridCol w:w="5525"/>
        <w:gridCol w:w="60"/>
        <w:gridCol w:w="126"/>
        <w:gridCol w:w="1699"/>
        <w:gridCol w:w="129"/>
        <w:gridCol w:w="60"/>
        <w:gridCol w:w="76"/>
        <w:gridCol w:w="1256"/>
        <w:gridCol w:w="96"/>
      </w:tblGrid>
      <w:tr>
        <w:trPr/>
        <w:tc>
          <w:tcPr>
            <w:tcW w:w="5525" w:type="dxa"/>
            <w:tcBorders/>
            <w:shd w:fill="FFFFFF" w:val="clear"/>
            <w:vAlign w:val="center"/>
          </w:tcPr>
          <w:p>
            <w:pPr>
              <w:pStyle w:val="TableContents"/>
              <w:bidi w:val="0"/>
              <w:spacing w:before="0" w:after="283"/>
              <w:ind w:left="0" w:right="0" w:hanging="200"/>
              <w:jc w:val="left"/>
              <w:rPr/>
            </w:pPr>
            <w:bookmarkStart w:id="500" w:name="xdx_8BD_zMeFkaKbvhbk"/>
            <w:bookmarkEnd w:id="500"/>
            <w:r>
              <w:rPr/>
              <w:t>Schedule of prepaid expenses and other current assets, net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501" w:name="xdx_49B_20251231_z0S8SrjcLO1f"/>
            <w:bookmarkEnd w:id="501"/>
          </w:p>
        </w:tc>
        <w:tc>
          <w:tcPr>
            <w:tcW w:w="1699"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502" w:name="xdx_491_20260630_z9pmnHgG7OMc"/>
            <w:bookmarkEnd w:id="502"/>
          </w:p>
        </w:tc>
        <w:tc>
          <w:tcPr>
            <w:tcW w:w="1256"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5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4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5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42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5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$US</w:t>
            </w:r>
          </w:p>
        </w:tc>
      </w:tr>
      <w:tr>
        <w:trPr/>
        <w:tc>
          <w:tcPr>
            <w:tcW w:w="5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(Unaudited)</w:t>
            </w:r>
            <w:bookmarkStart w:id="503" w:name="xdx_402_ecustom--DividendsReceivable1_iI"/>
            <w:bookmarkEnd w:id="503"/>
          </w:p>
        </w:tc>
      </w:tr>
      <w:tr>
        <w:trPr/>
        <w:tc>
          <w:tcPr>
            <w:tcW w:w="5525" w:type="dxa"/>
            <w:tcBorders/>
            <w:shd w:fill="CCEEFF" w:val="clear"/>
            <w:vAlign w:val="center"/>
          </w:tcPr>
          <w:p>
            <w:pPr>
              <w:pStyle w:val="TableContents"/>
              <w:bidi w:val="0"/>
              <w:spacing w:before="0" w:after="283"/>
              <w:jc w:val="left"/>
              <w:rPr>
                <w:sz w:val="20"/>
              </w:rPr>
            </w:pPr>
            <w:r>
              <w:rPr>
                <w:sz w:val="20"/>
              </w:rPr>
              <w:t xml:space="preserve">Dividends receivable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right"/>
              <w:rPr/>
            </w:pPr>
            <w:r>
              <w:rPr/>
              <w:t>—</w:t>
            </w:r>
          </w:p>
        </w:tc>
        <w:tc>
          <w:tcPr>
            <w:tcW w:w="1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1,762,566</w:t>
            </w:r>
          </w:p>
        </w:tc>
        <w:tc>
          <w:tcPr>
            <w:tcW w:w="96" w:type="dxa"/>
            <w:tcBorders/>
            <w:shd w:fill="CCEEFF" w:val="clear"/>
            <w:vAlign w:val="center"/>
          </w:tcPr>
          <w:p>
            <w:pPr>
              <w:pStyle w:val="TableContents"/>
              <w:bidi w:val="0"/>
              <w:spacing w:before="0" w:after="283"/>
              <w:ind w:left="0" w:right="0" w:hanging="200"/>
              <w:jc w:val="left"/>
              <w:rPr/>
            </w:pPr>
            <w:r>
              <w:rPr/>
              <w:t> </w:t>
            </w:r>
            <w:bookmarkStart w:id="504" w:name="xdx_40C_ecustom--DeductibleValueaddedTax"/>
            <w:bookmarkEnd w:id="504"/>
          </w:p>
        </w:tc>
      </w:tr>
      <w:tr>
        <w:trPr/>
        <w:tc>
          <w:tcPr>
            <w:tcW w:w="5525" w:type="dxa"/>
            <w:tcBorders/>
            <w:shd w:fill="FFFFFF" w:val="clear"/>
            <w:vAlign w:val="center"/>
          </w:tcPr>
          <w:p>
            <w:pPr>
              <w:pStyle w:val="TableContents"/>
              <w:bidi w:val="0"/>
              <w:spacing w:before="0" w:after="283"/>
              <w:jc w:val="left"/>
              <w:rPr/>
            </w:pPr>
            <w:r>
              <w:rPr/>
              <w:t>Deductible value-added tax</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592,303</w:t>
            </w:r>
          </w:p>
        </w:tc>
        <w:tc>
          <w:tcPr>
            <w:tcW w:w="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2,047,527</w:t>
            </w:r>
          </w:p>
        </w:tc>
        <w:tc>
          <w:tcPr>
            <w:tcW w:w="96" w:type="dxa"/>
            <w:tcBorders/>
            <w:shd w:fill="FFFFFF" w:val="clear"/>
            <w:vAlign w:val="center"/>
          </w:tcPr>
          <w:p>
            <w:pPr>
              <w:pStyle w:val="TableContents"/>
              <w:bidi w:val="0"/>
              <w:spacing w:before="0" w:after="283"/>
              <w:ind w:left="0" w:right="0" w:hanging="200"/>
              <w:jc w:val="left"/>
              <w:rPr/>
            </w:pPr>
            <w:r>
              <w:rPr/>
              <w:t> </w:t>
            </w:r>
            <w:bookmarkStart w:id="505" w:name="xdx_40F_eus-gaap--RetainageDeposit_iI_zo"/>
            <w:bookmarkEnd w:id="505"/>
          </w:p>
        </w:tc>
      </w:tr>
      <w:tr>
        <w:trPr/>
        <w:tc>
          <w:tcPr>
            <w:tcW w:w="5525" w:type="dxa"/>
            <w:tcBorders/>
            <w:shd w:fill="CCEEFF" w:val="clear"/>
            <w:vAlign w:val="center"/>
          </w:tcPr>
          <w:p>
            <w:pPr>
              <w:pStyle w:val="TableContents"/>
              <w:bidi w:val="0"/>
              <w:spacing w:before="0" w:after="283"/>
              <w:jc w:val="left"/>
              <w:rPr/>
            </w:pPr>
            <w:r>
              <w:rPr/>
              <w:t>Advance to suppliers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right"/>
              <w:rPr/>
            </w:pPr>
            <w:r>
              <w:rPr/>
              <w:t>181,890</w:t>
            </w:r>
          </w:p>
        </w:tc>
        <w:tc>
          <w:tcPr>
            <w:tcW w:w="1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167,616</w:t>
            </w:r>
          </w:p>
        </w:tc>
        <w:tc>
          <w:tcPr>
            <w:tcW w:w="96" w:type="dxa"/>
            <w:tcBorders/>
            <w:shd w:fill="CCEEFF" w:val="clear"/>
            <w:vAlign w:val="center"/>
          </w:tcPr>
          <w:p>
            <w:pPr>
              <w:pStyle w:val="TableContents"/>
              <w:bidi w:val="0"/>
              <w:spacing w:before="0" w:after="283"/>
              <w:ind w:left="0" w:right="0" w:hanging="200"/>
              <w:jc w:val="left"/>
              <w:rPr/>
            </w:pPr>
            <w:r>
              <w:rPr/>
              <w:t> </w:t>
            </w:r>
            <w:bookmarkStart w:id="506" w:name="xdx_401_eus-gaap--Deposits_iI_zKdworM2fZ"/>
            <w:bookmarkEnd w:id="506"/>
          </w:p>
        </w:tc>
      </w:tr>
      <w:tr>
        <w:trPr/>
        <w:tc>
          <w:tcPr>
            <w:tcW w:w="5525"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24,044</w:t>
            </w:r>
          </w:p>
        </w:tc>
        <w:tc>
          <w:tcPr>
            <w:tcW w:w="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117,013</w:t>
            </w:r>
          </w:p>
        </w:tc>
        <w:tc>
          <w:tcPr>
            <w:tcW w:w="96" w:type="dxa"/>
            <w:tcBorders/>
            <w:shd w:fill="FFFFFF" w:val="clear"/>
            <w:vAlign w:val="center"/>
          </w:tcPr>
          <w:p>
            <w:pPr>
              <w:pStyle w:val="TableContents"/>
              <w:bidi w:val="0"/>
              <w:spacing w:before="0" w:after="283"/>
              <w:ind w:left="0" w:right="0" w:hanging="200"/>
              <w:jc w:val="left"/>
              <w:rPr/>
            </w:pPr>
            <w:r>
              <w:rPr/>
              <w:t> </w:t>
            </w:r>
            <w:bookmarkStart w:id="507" w:name="xdx_40C_eus-gaap--PrepaidExpenseCurrent_"/>
            <w:bookmarkEnd w:id="507"/>
          </w:p>
        </w:tc>
      </w:tr>
      <w:tr>
        <w:trPr/>
        <w:tc>
          <w:tcPr>
            <w:tcW w:w="5525"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right"/>
              <w:rPr/>
            </w:pPr>
            <w:r>
              <w:rPr/>
              <w:t>113,091</w:t>
            </w:r>
          </w:p>
        </w:tc>
        <w:tc>
          <w:tcPr>
            <w:tcW w:w="1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241,709</w:t>
            </w:r>
          </w:p>
        </w:tc>
        <w:tc>
          <w:tcPr>
            <w:tcW w:w="96" w:type="dxa"/>
            <w:tcBorders/>
            <w:shd w:fill="CCEEFF" w:val="clear"/>
            <w:vAlign w:val="center"/>
          </w:tcPr>
          <w:p>
            <w:pPr>
              <w:pStyle w:val="TableContents"/>
              <w:bidi w:val="0"/>
              <w:spacing w:before="0" w:after="283"/>
              <w:ind w:left="0" w:right="0" w:hanging="200"/>
              <w:jc w:val="left"/>
              <w:rPr/>
            </w:pPr>
            <w:r>
              <w:rPr/>
              <w:t> </w:t>
            </w:r>
            <w:bookmarkStart w:id="508" w:name="xdx_40B_ecustom--AdvanceToStaff_iI_zLMoN"/>
            <w:bookmarkEnd w:id="508"/>
          </w:p>
        </w:tc>
      </w:tr>
      <w:tr>
        <w:trPr/>
        <w:tc>
          <w:tcPr>
            <w:tcW w:w="5525" w:type="dxa"/>
            <w:tcBorders/>
            <w:shd w:fill="FFFFFF" w:val="clear"/>
            <w:vAlign w:val="center"/>
          </w:tcPr>
          <w:p>
            <w:pPr>
              <w:pStyle w:val="TableContents"/>
              <w:bidi w:val="0"/>
              <w:spacing w:before="0" w:after="283"/>
              <w:jc w:val="left"/>
              <w:rPr/>
            </w:pPr>
            <w:r>
              <w:rPr/>
              <w:t>Advance to staff</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9" w:type="dxa"/>
            <w:tcBorders>
              <w:bottom w:val="single" w:sz="8" w:space="0" w:color="000000"/>
            </w:tcBorders>
            <w:shd w:fill="FFFFFF" w:val="clear"/>
            <w:tcMar>
              <w:bottom w:w="28" w:type="dxa"/>
            </w:tcMar>
            <w:vAlign w:val="center"/>
          </w:tcPr>
          <w:p>
            <w:pPr>
              <w:pStyle w:val="TableContents"/>
              <w:bidi w:val="0"/>
              <w:spacing w:before="0" w:after="283"/>
              <w:jc w:val="right"/>
              <w:rPr/>
            </w:pPr>
            <w:r>
              <w:rPr/>
              <w:t>52,866</w:t>
            </w:r>
          </w:p>
        </w:tc>
        <w:tc>
          <w:tcPr>
            <w:tcW w:w="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43,000</w:t>
            </w:r>
          </w:p>
        </w:tc>
        <w:tc>
          <w:tcPr>
            <w:tcW w:w="96" w:type="dxa"/>
            <w:tcBorders/>
            <w:shd w:fill="FFFFFF" w:val="clear"/>
            <w:vAlign w:val="center"/>
          </w:tcPr>
          <w:p>
            <w:pPr>
              <w:pStyle w:val="TableContents"/>
              <w:bidi w:val="0"/>
              <w:spacing w:before="0" w:after="283"/>
              <w:ind w:left="0" w:right="0" w:hanging="200"/>
              <w:jc w:val="left"/>
              <w:rPr/>
            </w:pPr>
            <w:r>
              <w:rPr/>
              <w:t> </w:t>
            </w:r>
            <w:bookmarkStart w:id="509" w:name="xdx_409_eus-gaap--PrepaidExpenseCurrentA"/>
            <w:bookmarkEnd w:id="509"/>
          </w:p>
        </w:tc>
      </w:tr>
      <w:tr>
        <w:trPr/>
        <w:tc>
          <w:tcPr>
            <w:tcW w:w="5525" w:type="dxa"/>
            <w:tcBorders/>
            <w:shd w:fill="CCEEFF" w:val="clear"/>
            <w:vAlign w:val="center"/>
          </w:tcPr>
          <w:p>
            <w:pPr>
              <w:pStyle w:val="TableContents"/>
              <w:bidi w:val="0"/>
              <w:spacing w:before="0" w:after="283"/>
              <w:jc w:val="left"/>
              <w:rPr>
                <w:b/>
              </w:rPr>
            </w:pPr>
            <w:r>
              <w:rPr>
                <w:b/>
              </w:rPr>
              <w:t>Total prepaid expenses and other current assets, gross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9" w:type="dxa"/>
            <w:tcBorders>
              <w:bottom w:val="single" w:sz="8" w:space="0" w:color="000000"/>
            </w:tcBorders>
            <w:shd w:fill="CCEEFF" w:val="clear"/>
            <w:tcMar>
              <w:bottom w:w="28" w:type="dxa"/>
            </w:tcMar>
            <w:vAlign w:val="center"/>
          </w:tcPr>
          <w:p>
            <w:pPr>
              <w:pStyle w:val="TableContents"/>
              <w:bidi w:val="0"/>
              <w:spacing w:before="0" w:after="283"/>
              <w:jc w:val="right"/>
              <w:rPr/>
            </w:pPr>
            <w:r>
              <w:rPr/>
              <w:t>964,194</w:t>
            </w:r>
          </w:p>
        </w:tc>
        <w:tc>
          <w:tcPr>
            <w:tcW w:w="1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4,379,431</w:t>
            </w:r>
          </w:p>
        </w:tc>
        <w:tc>
          <w:tcPr>
            <w:tcW w:w="96" w:type="dxa"/>
            <w:tcBorders/>
            <w:shd w:fill="CCEEFF" w:val="clear"/>
            <w:vAlign w:val="center"/>
          </w:tcPr>
          <w:p>
            <w:pPr>
              <w:pStyle w:val="TableContents"/>
              <w:bidi w:val="0"/>
              <w:spacing w:before="0" w:after="283"/>
              <w:ind w:left="0" w:right="0" w:hanging="200"/>
              <w:jc w:val="left"/>
              <w:rPr/>
            </w:pPr>
            <w:r>
              <w:rPr/>
              <w:t> </w:t>
            </w:r>
            <w:bookmarkStart w:id="510" w:name="xdx_40F_ecustom--ProvisionForCreditLoss_"/>
            <w:bookmarkEnd w:id="510"/>
          </w:p>
        </w:tc>
      </w:tr>
      <w:tr>
        <w:trPr/>
        <w:tc>
          <w:tcPr>
            <w:tcW w:w="5525" w:type="dxa"/>
            <w:tcBorders/>
            <w:shd w:fill="FFFFFF" w:val="clear"/>
            <w:vAlign w:val="center"/>
          </w:tcPr>
          <w:p>
            <w:pPr>
              <w:pStyle w:val="TableContents"/>
              <w:bidi w:val="0"/>
              <w:spacing w:before="0" w:after="283"/>
              <w:jc w:val="left"/>
              <w:rPr/>
            </w:pPr>
            <w:r>
              <w:rPr/>
              <w:t>Less: provision for credit loss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200"/>
              <w:jc w:val="left"/>
              <w:rPr/>
            </w:pPr>
            <w:r>
              <w:rPr/>
              <w:t> </w:t>
            </w:r>
            <w:bookmarkStart w:id="511" w:name="xdx_40A_eus-gaap--PrepaidExpenseAndOther"/>
            <w:bookmarkEnd w:id="511"/>
          </w:p>
        </w:tc>
      </w:tr>
      <w:tr>
        <w:trPr/>
        <w:tc>
          <w:tcPr>
            <w:tcW w:w="5525" w:type="dxa"/>
            <w:tcBorders/>
            <w:shd w:fill="CCEEFF" w:val="clear"/>
            <w:vAlign w:val="center"/>
          </w:tcPr>
          <w:p>
            <w:pPr>
              <w:pStyle w:val="TableContents"/>
              <w:bidi w:val="0"/>
              <w:spacing w:before="0" w:after="283"/>
              <w:jc w:val="left"/>
              <w:rPr>
                <w:b/>
              </w:rPr>
            </w:pPr>
            <w:r>
              <w:rPr>
                <w:b/>
              </w:rPr>
              <w:t>Total 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9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964,194</w:t>
            </w:r>
          </w:p>
        </w:tc>
        <w:tc>
          <w:tcPr>
            <w:tcW w:w="1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4,379,431</w:t>
            </w:r>
          </w:p>
        </w:tc>
        <w:tc>
          <w:tcPr>
            <w:tcW w:w="96"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both"/>
              <w:rPr/>
            </w:pPr>
            <w:r>
              <w:rPr/>
              <w:t>In June 2026, PSM-ZJK Fasteners (Shenzhen) Co., Ltd. (“PSM-ZJK”), in which the Company holds a</w:t>
            </w:r>
            <w:bookmarkStart w:id="512" w:name="xdx_90D_ecustom--EquityInterestRate_iI_d"/>
            <w:bookmarkEnd w:id="512"/>
            <w:r>
              <w:rPr/>
              <w:t xml:space="preserve"> 49% equity interest (see Note 6), announced a dividend distribution of US$</w:t>
            </w:r>
            <w:bookmarkStart w:id="513" w:name="xdx_90E_ecustom--DividendDistribution_iI"/>
            <w:bookmarkEnd w:id="513"/>
            <w:r>
              <w:rPr/>
              <w:t>3,485,424   to the Company, and made a payment of US$</w:t>
            </w:r>
            <w:bookmarkStart w:id="514" w:name="xdx_90C_eus-gaap--PaymentsOfDividends_c2"/>
            <w:bookmarkEnd w:id="514"/>
            <w:r>
              <w:rPr/>
              <w:t>1,742,712. As of June 30, 2026, the remaining balance of dividends receivable amounted to US$</w:t>
            </w:r>
            <w:bookmarkStart w:id="515" w:name="xdx_90F_eus-gaap--DividendsReceivable_iI"/>
            <w:bookmarkEnd w:id="515"/>
            <w:r>
              <w:rPr/>
              <w:t>1,762,566 and has been fully received in July 2026.</w:t>
            </w:r>
          </w:p>
        </w:tc>
      </w:tr>
    </w:tbl>
    <w:p>
      <w:pPr>
        <w:pStyle w:val="TextBody"/>
        <w:bidi w:val="0"/>
        <w:ind w:left="360" w:right="0" w:hanging="360"/>
        <w:jc w:val="both"/>
        <w:rPr>
          <w:caps w:val="false"/>
          <w:smallCaps w:val="false"/>
        </w:rPr>
      </w:pPr>
      <w:bookmarkStart w:id="516" w:name="xdx_8A2_zdSm8oXKS2bi"/>
      <w:bookmarkEnd w:id="516"/>
      <w:r>
        <w:rPr>
          <w:caps w:val="false"/>
          <w:smallCaps w:val="false"/>
        </w:rPr>
        <w:t> </w:t>
      </w:r>
    </w:p>
    <w:p>
      <w:pPr>
        <w:pStyle w:val="TextBody"/>
        <w:bidi w:val="0"/>
        <w:ind w:left="646" w:right="0" w:hanging="646"/>
        <w:jc w:val="both"/>
        <w:rPr>
          <w:rFonts w:ascii="Times New Roman;Times;Serif" w:hAnsi="Times New Roman;Times;Serif"/>
          <w:b/>
          <w:i w:val="false"/>
          <w:caps w:val="false"/>
          <w:smallCaps w:val="false"/>
          <w:sz w:val="20"/>
        </w:rPr>
      </w:pPr>
      <w:bookmarkStart w:id="517" w:name="xdx_80B_eus-gaap--InvestmentsAndOtherNon"/>
      <w:bookmarkEnd w:id="517"/>
      <w:r>
        <w:rPr>
          <w:rFonts w:ascii="Times New Roman;Times;Serif" w:hAnsi="Times New Roman;Times;Serif"/>
          <w:b/>
          <w:i w:val="false"/>
          <w:caps w:val="false"/>
          <w:smallCaps w:val="false"/>
          <w:sz w:val="20"/>
        </w:rPr>
        <w:t xml:space="preserve">5. </w:t>
      </w:r>
      <w:bookmarkStart w:id="518" w:name="xdx_829_zCsYPxrfRTHh"/>
      <w:bookmarkEnd w:id="518"/>
      <w:r>
        <w:rPr>
          <w:rFonts w:ascii="Times New Roman;Times;Serif" w:hAnsi="Times New Roman;Times;Serif"/>
          <w:b/>
          <w:i w:val="false"/>
          <w:caps w:val="false"/>
          <w:smallCaps w:val="false"/>
          <w:sz w:val="20"/>
        </w:rPr>
        <w:t>OTHER NON-CURRENT ASSETS</w:t>
      </w:r>
    </w:p>
    <w:p>
      <w:pPr>
        <w:pStyle w:val="TextBody"/>
        <w:bidi w:val="0"/>
        <w:ind w:left="646" w:right="0" w:hanging="646"/>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consist of prepayments for property and equipment and rental deposits with a balance of US$</w:t>
      </w:r>
      <w:bookmarkStart w:id="519" w:name="xdx_90A_eus-gaap--OtherAssetsNoncurrent_"/>
      <w:bookmarkEnd w:id="519"/>
      <w:r>
        <w:rPr>
          <w:rFonts w:ascii="Times New Roman;Times;Serif" w:hAnsi="Times New Roman;Times;Serif"/>
          <w:b w:val="false"/>
          <w:i w:val="false"/>
          <w:caps w:val="false"/>
          <w:smallCaps w:val="false"/>
          <w:sz w:val="20"/>
        </w:rPr>
        <w:t>347,569 and US$</w:t>
      </w:r>
      <w:bookmarkStart w:id="520" w:name="xdx_90C_eus-gaap--OtherAssetsNoncurrent_"/>
      <w:bookmarkEnd w:id="520"/>
      <w:r>
        <w:rPr>
          <w:rFonts w:ascii="Times New Roman;Times;Serif" w:hAnsi="Times New Roman;Times;Serif"/>
          <w:b w:val="false"/>
          <w:i w:val="false"/>
          <w:caps w:val="false"/>
          <w:smallCaps w:val="false"/>
          <w:sz w:val="20"/>
        </w:rPr>
        <w:t>630,674 as of December 31, 2025 and June 30, 2026, respectively. Delivery of the equipment is expected in December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loss on prepayments is recognized within general and administrative expenses in the consolidated statements of income and comprehensive income. During the six months ended June 30, 2025 and 2026, the Company recorded no impairment loss on its prepayments.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21" w:name="xdx_805_ecustom--LongTermInvestmentTextB"/>
      <w:bookmarkEnd w:id="521"/>
      <w:r>
        <w:rPr>
          <w:rFonts w:ascii="Times New Roman;Times;Serif" w:hAnsi="Times New Roman;Times;Serif"/>
          <w:b/>
          <w:i w:val="false"/>
          <w:caps w:val="false"/>
          <w:smallCaps w:val="false"/>
          <w:sz w:val="20"/>
        </w:rPr>
        <w:t xml:space="preserve">6. </w:t>
      </w:r>
      <w:bookmarkStart w:id="522" w:name="xdx_822_zHYbPFHXCjK4"/>
      <w:bookmarkEnd w:id="522"/>
      <w:r>
        <w:rPr>
          <w:rFonts w:ascii="Times New Roman;Times;Serif" w:hAnsi="Times New Roman;Times;Serif"/>
          <w:b/>
          <w:i w:val="false"/>
          <w:caps w:val="false"/>
          <w:smallCaps w:val="false"/>
          <w:sz w:val="20"/>
        </w:rPr>
        <w:t>LONG-TERM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 consists of the equity investment in PSM-ZJK Fasteners (Shenzhen) Co., Ltd. (“PSM-ZJK”) by the Company accounted for using the equity method. The following table sets forth the changes in the Company’s long-term investment:</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23" w:name="xdx_89A_ecustom--InvestmentCompanyChange"/>
      <w:bookmarkStart w:id="524" w:name="xdx_89A_ecustom--InvestmentCompanyChange"/>
      <w:bookmarkEnd w:id="524"/>
    </w:p>
    <w:tbl>
      <w:tblPr>
        <w:tblW w:w="9534" w:type="dxa"/>
        <w:jc w:val="left"/>
        <w:tblInd w:w="0" w:type="dxa"/>
        <w:tblLayout w:type="fixed"/>
        <w:tblCellMar>
          <w:top w:w="0" w:type="dxa"/>
          <w:left w:w="0" w:type="dxa"/>
          <w:bottom w:w="0" w:type="dxa"/>
          <w:right w:w="0" w:type="dxa"/>
        </w:tblCellMar>
      </w:tblPr>
      <w:tblGrid>
        <w:gridCol w:w="4280"/>
        <w:gridCol w:w="60"/>
        <w:gridCol w:w="254"/>
        <w:gridCol w:w="4474"/>
        <w:gridCol w:w="466"/>
      </w:tblGrid>
      <w:tr>
        <w:trPr/>
        <w:tc>
          <w:tcPr>
            <w:tcW w:w="4280" w:type="dxa"/>
            <w:tcBorders/>
            <w:shd w:fill="FFFFFF" w:val="clear"/>
            <w:vAlign w:val="center"/>
          </w:tcPr>
          <w:p>
            <w:pPr>
              <w:pStyle w:val="TableContents"/>
              <w:bidi w:val="0"/>
              <w:spacing w:before="0" w:after="283"/>
              <w:ind w:left="0" w:right="0" w:hanging="200"/>
              <w:jc w:val="left"/>
              <w:rPr/>
            </w:pPr>
            <w:bookmarkStart w:id="525" w:name="xdx_8B7_zKyWeU0IDwu1"/>
            <w:bookmarkEnd w:id="525"/>
            <w:r>
              <w:rPr/>
              <w:t>Schedule of changes in long-term investment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4474" w:type="dxa"/>
            <w:tcBorders/>
            <w:shd w:fill="FFFFFF" w:val="clear"/>
            <w:vAlign w:val="center"/>
          </w:tcPr>
          <w:p>
            <w:pPr>
              <w:pStyle w:val="TableContents"/>
              <w:bidi w:val="0"/>
              <w:spacing w:before="0" w:after="283"/>
              <w:jc w:val="right"/>
              <w:rPr/>
            </w:pPr>
            <w:r>
              <w:rPr/>
              <w:t> </w:t>
            </w:r>
          </w:p>
        </w:tc>
        <w:tc>
          <w:tcPr>
            <w:tcW w:w="466" w:type="dxa"/>
            <w:tcBorders/>
            <w:shd w:fill="FFFFFF" w:val="clear"/>
            <w:vAlign w:val="center"/>
          </w:tcPr>
          <w:p>
            <w:pPr>
              <w:pStyle w:val="TableContents"/>
              <w:bidi w:val="0"/>
              <w:spacing w:before="0" w:after="283"/>
              <w:ind w:left="0" w:right="0" w:hanging="200"/>
              <w:jc w:val="left"/>
              <w:rPr/>
            </w:pPr>
            <w:r>
              <w:rPr/>
              <w:t> </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94"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Investments accounted for using the equity method</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94" w:type="dxa"/>
            <w:gridSpan w:val="3"/>
            <w:tcBorders/>
            <w:vAlign w:val="center"/>
          </w:tcPr>
          <w:p>
            <w:pPr>
              <w:pStyle w:val="TableContents"/>
              <w:bidi w:val="0"/>
              <w:spacing w:before="0" w:after="283"/>
              <w:ind w:left="0" w:right="0" w:hanging="200"/>
              <w:jc w:val="center"/>
              <w:rPr>
                <w:b/>
              </w:rPr>
            </w:pPr>
            <w:r>
              <w:rPr>
                <w:b/>
              </w:rPr>
              <w:t>$US</w:t>
            </w:r>
          </w:p>
        </w:tc>
      </w:tr>
      <w:tr>
        <w:trPr/>
        <w:tc>
          <w:tcPr>
            <w:tcW w:w="4280" w:type="dxa"/>
            <w:tcBorders/>
            <w:shd w:fill="CCEEFF" w:val="clear"/>
            <w:vAlign w:val="center"/>
          </w:tcPr>
          <w:p>
            <w:pPr>
              <w:pStyle w:val="TableContents"/>
              <w:bidi w:val="0"/>
              <w:spacing w:before="0" w:after="283"/>
              <w:jc w:val="left"/>
              <w:rPr>
                <w:b/>
              </w:rPr>
            </w:pPr>
            <w:r>
              <w:rPr>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526" w:name="xdx_98B_eus-gaap--LongTermInvestments_iS"/>
            <w:bookmarkEnd w:id="526"/>
          </w:p>
        </w:tc>
        <w:tc>
          <w:tcPr>
            <w:tcW w:w="4474" w:type="dxa"/>
            <w:tcBorders/>
            <w:shd w:fill="CCEEFF" w:val="clear"/>
            <w:vAlign w:val="center"/>
          </w:tcPr>
          <w:p>
            <w:pPr>
              <w:pStyle w:val="TableContents"/>
              <w:bidi w:val="0"/>
              <w:spacing w:before="0" w:after="283"/>
              <w:jc w:val="right"/>
              <w:rPr>
                <w:b/>
              </w:rPr>
            </w:pPr>
            <w:r>
              <w:rPr>
                <w:b/>
              </w:rPr>
              <w:t>2,747,493</w:t>
            </w:r>
          </w:p>
        </w:tc>
        <w:tc>
          <w:tcPr>
            <w:tcW w:w="466" w:type="dxa"/>
            <w:tcBorders/>
            <w:shd w:fill="CCEEFF" w:val="clear"/>
            <w:vAlign w:val="center"/>
          </w:tcPr>
          <w:p>
            <w:pPr>
              <w:pStyle w:val="TableContents"/>
              <w:bidi w:val="0"/>
              <w:spacing w:before="0" w:after="283"/>
              <w:ind w:left="0" w:right="0" w:hanging="200"/>
              <w:jc w:val="left"/>
              <w:rPr/>
            </w:pPr>
            <w:r>
              <w:rPr/>
              <w:t> </w:t>
            </w:r>
          </w:p>
        </w:tc>
      </w:tr>
      <w:tr>
        <w:trPr/>
        <w:tc>
          <w:tcPr>
            <w:tcW w:w="4280" w:type="dxa"/>
            <w:tcBorders/>
            <w:shd w:fill="FFFFFF" w:val="clear"/>
            <w:vAlign w:val="center"/>
          </w:tcPr>
          <w:p>
            <w:pPr>
              <w:pStyle w:val="TableContents"/>
              <w:bidi w:val="0"/>
              <w:spacing w:before="0" w:after="283"/>
              <w:jc w:val="left"/>
              <w:rPr/>
            </w:pPr>
            <w:r>
              <w:rPr/>
              <w:t>Income from equity method investments</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bookmarkStart w:id="527" w:name="xdx_98B_eus-gaap--IncomeLossFromEquityMe"/>
            <w:bookmarkEnd w:id="527"/>
          </w:p>
        </w:tc>
        <w:tc>
          <w:tcPr>
            <w:tcW w:w="4474" w:type="dxa"/>
            <w:tcBorders/>
            <w:shd w:fill="FFFFFF" w:val="clear"/>
            <w:vAlign w:val="center"/>
          </w:tcPr>
          <w:p>
            <w:pPr>
              <w:pStyle w:val="TableContents"/>
              <w:bidi w:val="0"/>
              <w:spacing w:before="0" w:after="283"/>
              <w:jc w:val="right"/>
              <w:rPr/>
            </w:pPr>
            <w:r>
              <w:rPr/>
              <w:t>3,409,385</w:t>
            </w:r>
          </w:p>
        </w:tc>
        <w:tc>
          <w:tcPr>
            <w:tcW w:w="466" w:type="dxa"/>
            <w:tcBorders/>
            <w:shd w:fill="FFFFFF" w:val="clear"/>
            <w:vAlign w:val="center"/>
          </w:tcPr>
          <w:p>
            <w:pPr>
              <w:pStyle w:val="TableContents"/>
              <w:bidi w:val="0"/>
              <w:spacing w:before="0" w:after="283"/>
              <w:ind w:left="0" w:right="0" w:hanging="200"/>
              <w:jc w:val="left"/>
              <w:rPr/>
            </w:pPr>
            <w:r>
              <w:rPr/>
              <w:t> </w:t>
            </w:r>
          </w:p>
        </w:tc>
      </w:tr>
      <w:tr>
        <w:trPr/>
        <w:tc>
          <w:tcPr>
            <w:tcW w:w="4280" w:type="dxa"/>
            <w:tcBorders/>
            <w:shd w:fill="CCEEFF" w:val="clear"/>
            <w:vAlign w:val="center"/>
          </w:tcPr>
          <w:p>
            <w:pPr>
              <w:pStyle w:val="TableContents"/>
              <w:bidi w:val="0"/>
              <w:spacing w:before="0" w:after="283"/>
              <w:jc w:val="left"/>
              <w:rPr/>
            </w:pPr>
            <w:r>
              <w:rPr/>
              <w:t>Dividends distribution</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528" w:name="xdx_982_eus-gaap--InvestmentCompanyDivid"/>
            <w:bookmarkEnd w:id="528"/>
          </w:p>
        </w:tc>
        <w:tc>
          <w:tcPr>
            <w:tcW w:w="4474" w:type="dxa"/>
            <w:tcBorders/>
            <w:shd w:fill="CCEEFF" w:val="clear"/>
            <w:vAlign w:val="center"/>
          </w:tcPr>
          <w:p>
            <w:pPr>
              <w:pStyle w:val="TableContents"/>
              <w:bidi w:val="0"/>
              <w:spacing w:before="0" w:after="283"/>
              <w:jc w:val="right"/>
              <w:rPr/>
            </w:pPr>
            <w:r>
              <w:rPr/>
              <w:t>(2,591,873</w:t>
            </w:r>
          </w:p>
        </w:tc>
        <w:tc>
          <w:tcPr>
            <w:tcW w:w="466" w:type="dxa"/>
            <w:tcBorders/>
            <w:shd w:fill="CCEEFF" w:val="clear"/>
            <w:vAlign w:val="center"/>
          </w:tcPr>
          <w:p>
            <w:pPr>
              <w:pStyle w:val="TableContents"/>
              <w:bidi w:val="0"/>
              <w:spacing w:before="0" w:after="283"/>
              <w:ind w:left="0" w:right="0" w:hanging="200"/>
              <w:jc w:val="left"/>
              <w:rPr/>
            </w:pPr>
            <w:r>
              <w:rPr/>
              <w:t>)</w:t>
            </w:r>
          </w:p>
        </w:tc>
      </w:tr>
      <w:tr>
        <w:trPr/>
        <w:tc>
          <w:tcPr>
            <w:tcW w:w="428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9" w:name="xdx_987_ecustom--ForeignCurrencyTranslat"/>
            <w:bookmarkEnd w:id="529"/>
          </w:p>
        </w:tc>
        <w:tc>
          <w:tcPr>
            <w:tcW w:w="4474" w:type="dxa"/>
            <w:tcBorders>
              <w:bottom w:val="single" w:sz="8" w:space="0" w:color="000000"/>
            </w:tcBorders>
            <w:shd w:fill="FFFFFF" w:val="clear"/>
            <w:tcMar>
              <w:bottom w:w="28" w:type="dxa"/>
            </w:tcMar>
            <w:vAlign w:val="center"/>
          </w:tcPr>
          <w:p>
            <w:pPr>
              <w:pStyle w:val="TableContents"/>
              <w:bidi w:val="0"/>
              <w:spacing w:before="0" w:after="283"/>
              <w:jc w:val="right"/>
              <w:rPr/>
            </w:pPr>
            <w:r>
              <w:rPr/>
              <w:t>141,075</w:t>
            </w:r>
          </w:p>
        </w:tc>
        <w:tc>
          <w:tcPr>
            <w:tcW w:w="466" w:type="dxa"/>
            <w:tcBorders/>
            <w:shd w:fill="FFFFFF" w:val="clear"/>
            <w:vAlign w:val="center"/>
          </w:tcPr>
          <w:p>
            <w:pPr>
              <w:pStyle w:val="TableContents"/>
              <w:bidi w:val="0"/>
              <w:spacing w:before="0" w:after="283"/>
              <w:ind w:left="0" w:right="0" w:hanging="200"/>
              <w:jc w:val="left"/>
              <w:rPr/>
            </w:pPr>
            <w:r>
              <w:rPr/>
              <w:t> </w:t>
            </w:r>
          </w:p>
        </w:tc>
      </w:tr>
      <w:tr>
        <w:trPr/>
        <w:tc>
          <w:tcPr>
            <w:tcW w:w="4280"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0" w:name="xdx_982_eus-gaap--LongTermInvestments_iS"/>
            <w:bookmarkEnd w:id="530"/>
          </w:p>
        </w:tc>
        <w:tc>
          <w:tcPr>
            <w:tcW w:w="44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3,706,080</w:t>
            </w:r>
          </w:p>
        </w:tc>
        <w:tc>
          <w:tcPr>
            <w:tcW w:w="466" w:type="dxa"/>
            <w:tcBorders/>
            <w:shd w:fill="CCEEFF" w:val="clear"/>
            <w:vAlign w:val="center"/>
          </w:tcPr>
          <w:p>
            <w:pPr>
              <w:pStyle w:val="TableContents"/>
              <w:bidi w:val="0"/>
              <w:spacing w:before="0" w:after="283"/>
              <w:ind w:left="0" w:right="0" w:hanging="200"/>
              <w:jc w:val="left"/>
              <w:rPr/>
            </w:pPr>
            <w:r>
              <w:rPr/>
              <w:t> </w:t>
            </w:r>
          </w:p>
        </w:tc>
      </w:tr>
      <w:tr>
        <w:trPr/>
        <w:tc>
          <w:tcPr>
            <w:tcW w:w="4280" w:type="dxa"/>
            <w:tcBorders/>
            <w:shd w:fill="FFFFFF" w:val="clear"/>
            <w:vAlign w:val="center"/>
          </w:tcPr>
          <w:p>
            <w:pPr>
              <w:pStyle w:val="TableContents"/>
              <w:bidi w:val="0"/>
              <w:spacing w:before="0" w:after="283"/>
              <w:jc w:val="left"/>
              <w:rPr/>
            </w:pPr>
            <w:r>
              <w:rPr/>
              <w:t>Income from equity method investments</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bookmarkStart w:id="531" w:name="xdx_987_eus-gaap--IncomeLossFromEquityMe"/>
            <w:bookmarkEnd w:id="531"/>
          </w:p>
        </w:tc>
        <w:tc>
          <w:tcPr>
            <w:tcW w:w="4474" w:type="dxa"/>
            <w:tcBorders/>
            <w:shd w:fill="FFFFFF" w:val="clear"/>
            <w:vAlign w:val="center"/>
          </w:tcPr>
          <w:p>
            <w:pPr>
              <w:pStyle w:val="TableContents"/>
              <w:bidi w:val="0"/>
              <w:spacing w:before="0" w:after="283"/>
              <w:jc w:val="right"/>
              <w:rPr/>
            </w:pPr>
            <w:r>
              <w:rPr/>
              <w:t>1,475,335</w:t>
            </w:r>
          </w:p>
        </w:tc>
        <w:tc>
          <w:tcPr>
            <w:tcW w:w="466" w:type="dxa"/>
            <w:tcBorders/>
            <w:shd w:fill="FFFFFF" w:val="clear"/>
            <w:vAlign w:val="center"/>
          </w:tcPr>
          <w:p>
            <w:pPr>
              <w:pStyle w:val="TableContents"/>
              <w:bidi w:val="0"/>
              <w:spacing w:before="0" w:after="283"/>
              <w:ind w:left="0" w:right="0" w:hanging="200"/>
              <w:jc w:val="left"/>
              <w:rPr/>
            </w:pPr>
            <w:r>
              <w:rPr/>
              <w:t> </w:t>
            </w:r>
          </w:p>
        </w:tc>
      </w:tr>
      <w:tr>
        <w:trPr/>
        <w:tc>
          <w:tcPr>
            <w:tcW w:w="4280" w:type="dxa"/>
            <w:tcBorders/>
            <w:shd w:fill="CCEEFF" w:val="clear"/>
            <w:vAlign w:val="center"/>
          </w:tcPr>
          <w:p>
            <w:pPr>
              <w:pStyle w:val="TableContents"/>
              <w:bidi w:val="0"/>
              <w:spacing w:before="0" w:after="283"/>
              <w:jc w:val="left"/>
              <w:rPr/>
            </w:pPr>
            <w:r>
              <w:rPr/>
              <w:t>Dividends distribution</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532" w:name="xdx_98A_eus-gaap--InvestmentCompanyDivid"/>
            <w:bookmarkEnd w:id="532"/>
          </w:p>
        </w:tc>
        <w:tc>
          <w:tcPr>
            <w:tcW w:w="4474" w:type="dxa"/>
            <w:tcBorders/>
            <w:shd w:fill="CCEEFF" w:val="clear"/>
            <w:vAlign w:val="center"/>
          </w:tcPr>
          <w:p>
            <w:pPr>
              <w:pStyle w:val="TableContents"/>
              <w:bidi w:val="0"/>
              <w:spacing w:before="0" w:after="283"/>
              <w:jc w:val="right"/>
              <w:rPr/>
            </w:pPr>
            <w:r>
              <w:rPr/>
              <w:t>(3,485,424</w:t>
            </w:r>
          </w:p>
        </w:tc>
        <w:tc>
          <w:tcPr>
            <w:tcW w:w="466" w:type="dxa"/>
            <w:tcBorders/>
            <w:shd w:fill="CCEEFF" w:val="clear"/>
            <w:vAlign w:val="center"/>
          </w:tcPr>
          <w:p>
            <w:pPr>
              <w:pStyle w:val="TableContents"/>
              <w:bidi w:val="0"/>
              <w:spacing w:before="0" w:after="283"/>
              <w:ind w:left="0" w:right="0" w:hanging="200"/>
              <w:jc w:val="left"/>
              <w:rPr/>
            </w:pPr>
            <w:r>
              <w:rPr/>
              <w:t>)</w:t>
            </w:r>
          </w:p>
        </w:tc>
      </w:tr>
      <w:tr>
        <w:trPr/>
        <w:tc>
          <w:tcPr>
            <w:tcW w:w="428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3" w:name="xdx_986_ecustom--ForeignCurrencyTranslat"/>
            <w:bookmarkEnd w:id="533"/>
          </w:p>
        </w:tc>
        <w:tc>
          <w:tcPr>
            <w:tcW w:w="4474" w:type="dxa"/>
            <w:tcBorders>
              <w:bottom w:val="single" w:sz="8" w:space="0" w:color="000000"/>
            </w:tcBorders>
            <w:shd w:fill="FFFFFF" w:val="clear"/>
            <w:tcMar>
              <w:bottom w:w="28" w:type="dxa"/>
            </w:tcMar>
            <w:vAlign w:val="center"/>
          </w:tcPr>
          <w:p>
            <w:pPr>
              <w:pStyle w:val="TableContents"/>
              <w:bidi w:val="0"/>
              <w:spacing w:before="0" w:after="283"/>
              <w:jc w:val="right"/>
              <w:rPr/>
            </w:pPr>
            <w:r>
              <w:rPr/>
              <w:t>90,712</w:t>
            </w:r>
          </w:p>
        </w:tc>
        <w:tc>
          <w:tcPr>
            <w:tcW w:w="466" w:type="dxa"/>
            <w:tcBorders/>
            <w:shd w:fill="FFFFFF" w:val="clear"/>
            <w:vAlign w:val="center"/>
          </w:tcPr>
          <w:p>
            <w:pPr>
              <w:pStyle w:val="TableContents"/>
              <w:bidi w:val="0"/>
              <w:spacing w:before="0" w:after="283"/>
              <w:ind w:left="0" w:right="0" w:hanging="200"/>
              <w:jc w:val="left"/>
              <w:rPr/>
            </w:pPr>
            <w:r>
              <w:rPr/>
              <w:t> </w:t>
            </w:r>
          </w:p>
        </w:tc>
      </w:tr>
      <w:tr>
        <w:trPr/>
        <w:tc>
          <w:tcPr>
            <w:tcW w:w="4280" w:type="dxa"/>
            <w:tcBorders/>
            <w:shd w:fill="CCEEFF" w:val="clear"/>
            <w:vAlign w:val="center"/>
          </w:tcPr>
          <w:p>
            <w:pPr>
              <w:pStyle w:val="TableContents"/>
              <w:bidi w:val="0"/>
              <w:spacing w:before="0" w:after="283"/>
              <w:jc w:val="left"/>
              <w:rPr>
                <w:b/>
              </w:rPr>
            </w:pPr>
            <w:r>
              <w:rPr>
                <w:b/>
              </w:rPr>
              <w:t>Balance as of June 30, 2026 (Unaudited)</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34" w:name="xdx_981_eus-gaap--LongTermInvestments_iE"/>
            <w:bookmarkEnd w:id="534"/>
          </w:p>
        </w:tc>
        <w:tc>
          <w:tcPr>
            <w:tcW w:w="44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1,786,703</w:t>
            </w:r>
          </w:p>
        </w:tc>
        <w:tc>
          <w:tcPr>
            <w:tcW w:w="466"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35" w:name="xdx_8AB_zKTF05ll5o8b"/>
      <w:bookmarkEnd w:id="53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F-22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536" w:name="xdx_236_zbQY1umndYW5"/>
      <w:bookmarkEnd w:id="53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PSM-ZJK is principally engaged in trading a broad portfolio of hardware, which was originally established by BULTEN Fasteners (Wuxi) Co., Ltd. (“BULTEN Wuxi”) and Zhongjinke Shenzhen, on September 20, 2019 as a joint venture (“JV”), for the purpose of strategic cooperation between BULTEN Wuxi and Zhongjinke Shenzhen to expand business scope.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PSM-ZJK’s originally registered capital are RMB</w:t>
      </w:r>
      <w:bookmarkStart w:id="537" w:name="xdx_902_eus-gaap--Capital_iI_uRMB_c20211"/>
      <w:bookmarkEnd w:id="537"/>
      <w:r>
        <w:rPr>
          <w:rFonts w:ascii="Times New Roman;Times;Serif" w:hAnsi="Times New Roman;Times;Serif"/>
          <w:b w:val="false"/>
          <w:i w:val="false"/>
          <w:caps w:val="false"/>
          <w:smallCaps w:val="false"/>
          <w:sz w:val="20"/>
        </w:rPr>
        <w:t>1,000,000 (equivalent to US$</w:t>
      </w:r>
      <w:bookmarkStart w:id="538" w:name="xdx_90A_eus-gaap--Capital_iI_uUSD_c20211"/>
      <w:bookmarkEnd w:id="538"/>
      <w:r>
        <w:rPr>
          <w:rFonts w:ascii="Times New Roman;Times;Serif" w:hAnsi="Times New Roman;Times;Serif"/>
          <w:b w:val="false"/>
          <w:i w:val="false"/>
          <w:caps w:val="false"/>
          <w:smallCaps w:val="false"/>
          <w:sz w:val="20"/>
        </w:rPr>
        <w:t>144,986) and up to RMB</w:t>
      </w:r>
      <w:bookmarkStart w:id="539" w:name="xdx_901_eus-gaap--Capital_iI_uRMB_c20211"/>
      <w:bookmarkEnd w:id="539"/>
      <w:r>
        <w:rPr>
          <w:rFonts w:ascii="Times New Roman;Times;Serif" w:hAnsi="Times New Roman;Times;Serif"/>
          <w:b w:val="false"/>
          <w:i w:val="false"/>
          <w:caps w:val="false"/>
          <w:smallCaps w:val="false"/>
          <w:sz w:val="20"/>
        </w:rPr>
        <w:t>5,050,000 (equivalent to US$</w:t>
      </w:r>
      <w:bookmarkStart w:id="540" w:name="xdx_908_eus-gaap--Capital_iI_uUSD_c20211"/>
      <w:bookmarkEnd w:id="540"/>
      <w:r>
        <w:rPr>
          <w:rFonts w:ascii="Times New Roman;Times;Serif" w:hAnsi="Times New Roman;Times;Serif"/>
          <w:b w:val="false"/>
          <w:i w:val="false"/>
          <w:caps w:val="false"/>
          <w:smallCaps w:val="false"/>
          <w:sz w:val="20"/>
        </w:rPr>
        <w:t>764,225) as of December 31, 2021, 51% of which was subscribed by BULTEN Wuxi and 49% of which was subscribed by Zhongjinke Shenzhen, separately.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2023, Mr. Song resigned from the board of PSM-ZJK. On December 24, 2023, a new director, Ms. Chen joined the board of PSM-ZJK. Together with the existing directors, Mr. Ding and Mr. TAN EL PAN EDDY, there were three directors on the board, of which, two are nominated by BULTEN Wuxi, one is nominated by Zhongjinke Shenzhen.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2022, PSM-ZJK received machinery equipment with total original investment cost of RMB</w:t>
      </w:r>
      <w:bookmarkStart w:id="541" w:name="xdx_905_eus-gaap--InvestmentOwnedAtCost_"/>
      <w:bookmarkEnd w:id="541"/>
      <w:r>
        <w:rPr>
          <w:rFonts w:ascii="Times New Roman;Times;Serif" w:hAnsi="Times New Roman;Times;Serif"/>
          <w:b w:val="false"/>
          <w:i w:val="false"/>
          <w:caps w:val="false"/>
          <w:smallCaps w:val="false"/>
          <w:sz w:val="20"/>
        </w:rPr>
        <w:t>2,474,500 (equivalent to US$</w:t>
      </w:r>
      <w:bookmarkStart w:id="542" w:name="xdx_909_eus-gaap--InvestmentOwnedAtCost_"/>
      <w:bookmarkEnd w:id="542"/>
      <w:r>
        <w:rPr>
          <w:rFonts w:ascii="Times New Roman;Times;Serif" w:hAnsi="Times New Roman;Times;Serif"/>
          <w:b w:val="false"/>
          <w:i w:val="false"/>
          <w:caps w:val="false"/>
          <w:smallCaps w:val="false"/>
          <w:sz w:val="20"/>
        </w:rPr>
        <w:t>366,495) from Zhongjinke Shenzhen for the 49% equity shares, and the cost of the acquired assets was measured based on the fair value of the consideration transferred which has been evaluated by the third-party appraisal team.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above, the Company accounted for the investment under the equity method as Zhongjinke Shenzhen is able to exercise significant influence through its board representation.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and 2026, the Company recorded no impairment on its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43" w:name="xdx_80B_eus-gaap--InventoryDisclosureTex"/>
      <w:bookmarkEnd w:id="543"/>
      <w:r>
        <w:rPr>
          <w:rFonts w:ascii="Times New Roman;Times;Serif" w:hAnsi="Times New Roman;Times;Serif"/>
          <w:b/>
          <w:i w:val="false"/>
          <w:caps w:val="false"/>
          <w:smallCaps w:val="false"/>
          <w:sz w:val="20"/>
        </w:rPr>
        <w:t xml:space="preserve">7. </w:t>
      </w:r>
      <w:bookmarkStart w:id="544" w:name="xdx_824_zi6JxNYRbCoe"/>
      <w:bookmarkEnd w:id="544"/>
      <w:r>
        <w:rPr>
          <w:rFonts w:ascii="Times New Roman;Times;Serif" w:hAnsi="Times New Roman;Times;Serif"/>
          <w:b/>
          <w:i w:val="false"/>
          <w:caps w:val="false"/>
          <w:smallCaps w:val="false"/>
          <w:sz w:val="20"/>
        </w:rPr>
        <w:t>INVENTORIES,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balance consists of the following:</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45" w:name="xdx_888_eus-gaap--ScheduleOfInventoryCur"/>
      <w:bookmarkStart w:id="546" w:name="xdx_888_eus-gaap--ScheduleOfInventoryCur"/>
      <w:bookmarkEnd w:id="546"/>
    </w:p>
    <w:tbl>
      <w:tblPr>
        <w:tblW w:w="5951" w:type="dxa"/>
        <w:jc w:val="left"/>
        <w:tblInd w:w="0" w:type="dxa"/>
        <w:tblLayout w:type="fixed"/>
        <w:tblCellMar>
          <w:top w:w="0" w:type="dxa"/>
          <w:left w:w="0" w:type="dxa"/>
          <w:bottom w:w="0" w:type="dxa"/>
          <w:right w:w="0" w:type="dxa"/>
        </w:tblCellMar>
      </w:tblPr>
      <w:tblGrid>
        <w:gridCol w:w="2450"/>
        <w:gridCol w:w="60"/>
        <w:gridCol w:w="93"/>
        <w:gridCol w:w="1713"/>
        <w:gridCol w:w="147"/>
        <w:gridCol w:w="60"/>
        <w:gridCol w:w="67"/>
        <w:gridCol w:w="1238"/>
        <w:gridCol w:w="123"/>
      </w:tblGrid>
      <w:tr>
        <w:trPr/>
        <w:tc>
          <w:tcPr>
            <w:tcW w:w="2450" w:type="dxa"/>
            <w:tcBorders/>
            <w:shd w:fill="FFFFFF" w:val="clear"/>
            <w:vAlign w:val="center"/>
          </w:tcPr>
          <w:p>
            <w:pPr>
              <w:pStyle w:val="TableContents"/>
              <w:bidi w:val="0"/>
              <w:spacing w:before="0" w:after="283"/>
              <w:ind w:left="0" w:right="0" w:hanging="200"/>
              <w:jc w:val="left"/>
              <w:rPr/>
            </w:pPr>
            <w:bookmarkStart w:id="547" w:name="xdx_8BE_zsRgUlx9I7Qi"/>
            <w:bookmarkEnd w:id="547"/>
            <w:r>
              <w:rPr/>
              <w:t>Schedule of Inventory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bookmarkStart w:id="548" w:name="xdx_49A_20251231__us-gaap--BusinessAcqui"/>
            <w:bookmarkEnd w:id="548"/>
          </w:p>
        </w:tc>
        <w:tc>
          <w:tcPr>
            <w:tcW w:w="171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549" w:name="xdx_49F_20260630__us-gaap--BusinessAcqui"/>
            <w:bookmarkEnd w:id="549"/>
          </w:p>
        </w:tc>
        <w:tc>
          <w:tcPr>
            <w:tcW w:w="1238"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ind w:left="0" w:right="0" w:hanging="200"/>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41"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42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$US</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(Unaudited)</w:t>
            </w:r>
            <w:bookmarkStart w:id="550" w:name="xdx_409_eus-gaap--InventoryFinishedGoods"/>
            <w:bookmarkEnd w:id="550"/>
          </w:p>
        </w:tc>
      </w:tr>
      <w:tr>
        <w:trPr/>
        <w:tc>
          <w:tcPr>
            <w:tcW w:w="245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10,183,112</w:t>
            </w:r>
          </w:p>
        </w:tc>
        <w:tc>
          <w:tcPr>
            <w:tcW w:w="1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10,048,467</w:t>
            </w:r>
          </w:p>
        </w:tc>
        <w:tc>
          <w:tcPr>
            <w:tcW w:w="123" w:type="dxa"/>
            <w:tcBorders/>
            <w:shd w:fill="CCEEFF" w:val="clear"/>
            <w:vAlign w:val="center"/>
          </w:tcPr>
          <w:p>
            <w:pPr>
              <w:pStyle w:val="TableContents"/>
              <w:bidi w:val="0"/>
              <w:spacing w:before="0" w:after="283"/>
              <w:ind w:left="0" w:right="0" w:hanging="200"/>
              <w:jc w:val="left"/>
              <w:rPr/>
            </w:pPr>
            <w:r>
              <w:rPr/>
              <w:t> </w:t>
            </w:r>
            <w:bookmarkStart w:id="551" w:name="xdx_408_eus-gaap--InventoryWorkInProcess"/>
            <w:bookmarkEnd w:id="551"/>
          </w:p>
        </w:tc>
      </w:tr>
      <w:tr>
        <w:trPr/>
        <w:tc>
          <w:tcPr>
            <w:tcW w:w="245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713" w:type="dxa"/>
            <w:tcBorders/>
            <w:shd w:fill="FFFFFF" w:val="clear"/>
            <w:vAlign w:val="center"/>
          </w:tcPr>
          <w:p>
            <w:pPr>
              <w:pStyle w:val="TableContents"/>
              <w:bidi w:val="0"/>
              <w:spacing w:before="0" w:after="283"/>
              <w:jc w:val="right"/>
              <w:rPr/>
            </w:pPr>
            <w:r>
              <w:rPr/>
              <w:t>2,867,852</w:t>
            </w:r>
          </w:p>
        </w:tc>
        <w:tc>
          <w:tcPr>
            <w:tcW w:w="1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5,740,313</w:t>
            </w:r>
          </w:p>
        </w:tc>
        <w:tc>
          <w:tcPr>
            <w:tcW w:w="123" w:type="dxa"/>
            <w:tcBorders/>
            <w:shd w:fill="FFFFFF" w:val="clear"/>
            <w:vAlign w:val="center"/>
          </w:tcPr>
          <w:p>
            <w:pPr>
              <w:pStyle w:val="TableContents"/>
              <w:bidi w:val="0"/>
              <w:spacing w:before="0" w:after="283"/>
              <w:ind w:left="0" w:right="0" w:hanging="200"/>
              <w:jc w:val="left"/>
              <w:rPr/>
            </w:pPr>
            <w:r>
              <w:rPr/>
              <w:t> </w:t>
            </w:r>
            <w:bookmarkStart w:id="552" w:name="xdx_408_eus-gaap--InventoryRawMaterials_"/>
            <w:bookmarkEnd w:id="552"/>
          </w:p>
        </w:tc>
      </w:tr>
      <w:tr>
        <w:trPr/>
        <w:tc>
          <w:tcPr>
            <w:tcW w:w="245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911,512</w:t>
            </w:r>
          </w:p>
        </w:tc>
        <w:tc>
          <w:tcPr>
            <w:tcW w:w="1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714,959</w:t>
            </w:r>
          </w:p>
        </w:tc>
        <w:tc>
          <w:tcPr>
            <w:tcW w:w="123" w:type="dxa"/>
            <w:tcBorders/>
            <w:shd w:fill="CCEEFF" w:val="clear"/>
            <w:vAlign w:val="center"/>
          </w:tcPr>
          <w:p>
            <w:pPr>
              <w:pStyle w:val="TableContents"/>
              <w:bidi w:val="0"/>
              <w:spacing w:before="0" w:after="283"/>
              <w:ind w:left="0" w:right="0" w:hanging="200"/>
              <w:jc w:val="left"/>
              <w:rPr/>
            </w:pPr>
            <w:r>
              <w:rPr/>
              <w:t> </w:t>
            </w:r>
            <w:bookmarkStart w:id="553" w:name="xdx_405_eus-gaap--InventoryValuationRese"/>
            <w:bookmarkEnd w:id="553"/>
          </w:p>
        </w:tc>
      </w:tr>
      <w:tr>
        <w:trPr/>
        <w:tc>
          <w:tcPr>
            <w:tcW w:w="2450" w:type="dxa"/>
            <w:tcBorders/>
            <w:shd w:fill="FFFFFF" w:val="clear"/>
            <w:vAlign w:val="center"/>
          </w:tcPr>
          <w:p>
            <w:pPr>
              <w:pStyle w:val="TableContents"/>
              <w:bidi w:val="0"/>
              <w:spacing w:before="0" w:after="283"/>
              <w:jc w:val="left"/>
              <w:rPr/>
            </w:pPr>
            <w:r>
              <w:rPr/>
              <w:t>Less: Inventory provision</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3" w:type="dxa"/>
            <w:tcBorders>
              <w:bottom w:val="single" w:sz="8" w:space="0" w:color="000000"/>
            </w:tcBorders>
            <w:shd w:fill="FFFFFF" w:val="clear"/>
            <w:tcMar>
              <w:bottom w:w="28" w:type="dxa"/>
            </w:tcMar>
            <w:vAlign w:val="center"/>
          </w:tcPr>
          <w:p>
            <w:pPr>
              <w:pStyle w:val="TableContents"/>
              <w:bidi w:val="0"/>
              <w:spacing w:before="0" w:after="283"/>
              <w:jc w:val="right"/>
              <w:rPr/>
            </w:pPr>
            <w:r>
              <w:rPr/>
              <w:t>(1,819,160</w:t>
            </w:r>
          </w:p>
        </w:tc>
        <w:tc>
          <w:tcPr>
            <w:tcW w:w="14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(2,257,841</w:t>
            </w:r>
          </w:p>
        </w:tc>
        <w:tc>
          <w:tcPr>
            <w:tcW w:w="123" w:type="dxa"/>
            <w:tcBorders/>
            <w:shd w:fill="FFFFFF" w:val="clear"/>
            <w:vAlign w:val="center"/>
          </w:tcPr>
          <w:p>
            <w:pPr>
              <w:pStyle w:val="TableContents"/>
              <w:bidi w:val="0"/>
              <w:spacing w:before="0" w:after="283"/>
              <w:ind w:left="0" w:right="0" w:hanging="200"/>
              <w:jc w:val="left"/>
              <w:rPr/>
            </w:pPr>
            <w:r>
              <w:rPr/>
              <w:t>)</w:t>
            </w:r>
            <w:bookmarkStart w:id="554" w:name="xdx_40E_eus-gaap--InventoryNet_iI_z851mZ"/>
            <w:bookmarkEnd w:id="554"/>
          </w:p>
        </w:tc>
      </w:tr>
      <w:tr>
        <w:trPr/>
        <w:tc>
          <w:tcPr>
            <w:tcW w:w="2450" w:type="dxa"/>
            <w:tcBorders/>
            <w:shd w:fill="CCEEFF" w:val="clear"/>
            <w:vAlign w:val="center"/>
          </w:tcPr>
          <w:p>
            <w:pPr>
              <w:pStyle w:val="TableContents"/>
              <w:bidi w:val="0"/>
              <w:spacing w:before="0" w:after="283"/>
              <w:jc w:val="left"/>
              <w:rPr/>
            </w:pPr>
            <w:r>
              <w:rPr/>
              <w:t> </w:t>
            </w:r>
            <w:r>
              <w:rPr>
                <w:b/>
                <w:sz w:val="20"/>
              </w:rPr>
              <w:t>Total</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12,143,316</w:t>
            </w:r>
          </w:p>
        </w:tc>
        <w:tc>
          <w:tcPr>
            <w:tcW w:w="1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14,245,898</w:t>
            </w:r>
          </w:p>
        </w:tc>
        <w:tc>
          <w:tcPr>
            <w:tcW w:w="123"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55" w:name="xdx_80A_eus-gaap--PropertyPlantAndEquipm"/>
      <w:bookmarkEnd w:id="555"/>
      <w:r>
        <w:rPr>
          <w:rFonts w:ascii="Times New Roman;Times;Serif" w:hAnsi="Times New Roman;Times;Serif"/>
          <w:b/>
          <w:i w:val="false"/>
          <w:caps w:val="false"/>
          <w:smallCaps w:val="false"/>
          <w:sz w:val="20"/>
        </w:rPr>
        <w:t xml:space="preserve">8. </w:t>
      </w:r>
      <w:bookmarkStart w:id="556" w:name="xdx_821_zU0Nm9fZs1cc"/>
      <w:bookmarkEnd w:id="556"/>
      <w:r>
        <w:rPr>
          <w:rFonts w:ascii="Times New Roman;Times;Serif" w:hAnsi="Times New Roman;Times;Serif"/>
          <w:b/>
          <w:i w:val="false"/>
          <w:caps w:val="false"/>
          <w:smallCaps w:val="false"/>
          <w:sz w:val="20"/>
        </w:rPr>
        <w:t>PROPERTY, PLANT AND EQUIPMENT,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 consists of the following:</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7" w:name="xdx_897_eus-gaap--PropertyPlantAndEquipm"/>
      <w:bookmarkStart w:id="558" w:name="xdx_897_eus-gaap--PropertyPlantAndEquipm"/>
      <w:bookmarkEnd w:id="558"/>
    </w:p>
    <w:tbl>
      <w:tblPr>
        <w:tblW w:w="7976" w:type="dxa"/>
        <w:jc w:val="left"/>
        <w:tblInd w:w="0" w:type="dxa"/>
        <w:tblLayout w:type="fixed"/>
        <w:tblCellMar>
          <w:top w:w="0" w:type="dxa"/>
          <w:left w:w="0" w:type="dxa"/>
          <w:bottom w:w="0" w:type="dxa"/>
          <w:right w:w="0" w:type="dxa"/>
        </w:tblCellMar>
      </w:tblPr>
      <w:tblGrid>
        <w:gridCol w:w="4475"/>
        <w:gridCol w:w="60"/>
        <w:gridCol w:w="93"/>
        <w:gridCol w:w="1713"/>
        <w:gridCol w:w="147"/>
        <w:gridCol w:w="60"/>
        <w:gridCol w:w="67"/>
        <w:gridCol w:w="1238"/>
        <w:gridCol w:w="123"/>
      </w:tblGrid>
      <w:tr>
        <w:trPr/>
        <w:tc>
          <w:tcPr>
            <w:tcW w:w="4475" w:type="dxa"/>
            <w:tcBorders/>
            <w:shd w:fill="FFFFFF" w:val="clear"/>
            <w:vAlign w:val="center"/>
          </w:tcPr>
          <w:p>
            <w:pPr>
              <w:pStyle w:val="TableContents"/>
              <w:bidi w:val="0"/>
              <w:spacing w:before="0" w:after="283"/>
              <w:ind w:left="0" w:right="0" w:hanging="200"/>
              <w:jc w:val="left"/>
              <w:rPr/>
            </w:pPr>
            <w:bookmarkStart w:id="559" w:name="xdx_8B5_zYuP2NUmR978"/>
            <w:bookmarkEnd w:id="559"/>
            <w:r>
              <w:rPr/>
              <w:t>Schedule of Property, plant and equipment, net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71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ind w:left="0" w:right="0" w:hanging="200"/>
              <w:jc w:val="left"/>
              <w:rPr/>
            </w:pPr>
            <w:r>
              <w:rPr/>
              <w:t> </w:t>
            </w:r>
          </w:p>
        </w:tc>
      </w:tr>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41"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42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$US</w:t>
            </w:r>
          </w:p>
        </w:tc>
      </w:tr>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(Unaudited)</w:t>
            </w:r>
          </w:p>
        </w:tc>
      </w:tr>
      <w:tr>
        <w:trPr/>
        <w:tc>
          <w:tcPr>
            <w:tcW w:w="4475"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bookmarkStart w:id="560" w:name="xdx_986_eus-gaap--PropertyPlantAndEquipm"/>
            <w:bookmarkEnd w:id="560"/>
          </w:p>
        </w:tc>
        <w:tc>
          <w:tcPr>
            <w:tcW w:w="1713" w:type="dxa"/>
            <w:tcBorders/>
            <w:shd w:fill="CCEEFF" w:val="clear"/>
            <w:vAlign w:val="center"/>
          </w:tcPr>
          <w:p>
            <w:pPr>
              <w:pStyle w:val="TableContents"/>
              <w:bidi w:val="0"/>
              <w:spacing w:before="0" w:after="283"/>
              <w:jc w:val="right"/>
              <w:rPr/>
            </w:pPr>
            <w:r>
              <w:rPr/>
              <w:t>10,960,943</w:t>
            </w:r>
          </w:p>
        </w:tc>
        <w:tc>
          <w:tcPr>
            <w:tcW w:w="1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561" w:name="xdx_989_eus-gaap--PropertyPlantAndEquipm"/>
            <w:bookmarkEnd w:id="561"/>
          </w:p>
        </w:tc>
        <w:tc>
          <w:tcPr>
            <w:tcW w:w="1238" w:type="dxa"/>
            <w:tcBorders/>
            <w:shd w:fill="CCEEFF" w:val="clear"/>
            <w:vAlign w:val="center"/>
          </w:tcPr>
          <w:p>
            <w:pPr>
              <w:pStyle w:val="TableContents"/>
              <w:bidi w:val="0"/>
              <w:spacing w:before="0" w:after="283"/>
              <w:jc w:val="right"/>
              <w:rPr/>
            </w:pPr>
            <w:r>
              <w:rPr/>
              <w:t>12,205,626</w:t>
            </w:r>
          </w:p>
        </w:tc>
        <w:tc>
          <w:tcPr>
            <w:tcW w:w="123" w:type="dxa"/>
            <w:tcBorders/>
            <w:shd w:fill="CCEEFF" w:val="clear"/>
            <w:vAlign w:val="center"/>
          </w:tcPr>
          <w:p>
            <w:pPr>
              <w:pStyle w:val="TableContents"/>
              <w:bidi w:val="0"/>
              <w:spacing w:before="0" w:after="283"/>
              <w:ind w:left="0" w:right="0" w:hanging="200"/>
              <w:jc w:val="left"/>
              <w:rPr/>
            </w:pPr>
            <w:r>
              <w:rPr/>
              <w:t> </w:t>
            </w:r>
          </w:p>
        </w:tc>
      </w:tr>
      <w:tr>
        <w:trPr/>
        <w:tc>
          <w:tcPr>
            <w:tcW w:w="4475" w:type="dxa"/>
            <w:tcBorders/>
            <w:shd w:fill="FFFFFF" w:val="clear"/>
            <w:vAlign w:val="center"/>
          </w:tcPr>
          <w:p>
            <w:pPr>
              <w:pStyle w:val="TableContents"/>
              <w:bidi w:val="0"/>
              <w:spacing w:before="0" w:after="283"/>
              <w:jc w:val="left"/>
              <w:rPr>
                <w:sz w:val="20"/>
              </w:rPr>
            </w:pPr>
            <w:r>
              <w:rPr>
                <w:sz w:val="20"/>
              </w:rPr>
              <w:t xml:space="preserve">Buildings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bookmarkStart w:id="562" w:name="xdx_987_eus-gaap--PropertyPlantAndEquipm"/>
            <w:bookmarkEnd w:id="562"/>
          </w:p>
        </w:tc>
        <w:tc>
          <w:tcPr>
            <w:tcW w:w="1713" w:type="dxa"/>
            <w:tcBorders/>
            <w:shd w:fill="FFFFFF" w:val="clear"/>
            <w:vAlign w:val="center"/>
          </w:tcPr>
          <w:p>
            <w:pPr>
              <w:pStyle w:val="TableContents"/>
              <w:bidi w:val="0"/>
              <w:spacing w:before="0" w:after="283"/>
              <w:jc w:val="right"/>
              <w:rPr/>
            </w:pPr>
            <w:r>
              <w:rPr/>
              <w:t>3,439,100</w:t>
            </w:r>
          </w:p>
        </w:tc>
        <w:tc>
          <w:tcPr>
            <w:tcW w:w="1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563" w:name="xdx_988_eus-gaap--PropertyPlantAndEquipm"/>
            <w:bookmarkEnd w:id="563"/>
          </w:p>
        </w:tc>
        <w:tc>
          <w:tcPr>
            <w:tcW w:w="1238" w:type="dxa"/>
            <w:tcBorders/>
            <w:shd w:fill="FFFFFF" w:val="clear"/>
            <w:vAlign w:val="center"/>
          </w:tcPr>
          <w:p>
            <w:pPr>
              <w:pStyle w:val="TableContents"/>
              <w:bidi w:val="0"/>
              <w:spacing w:before="0" w:after="283"/>
              <w:jc w:val="right"/>
              <w:rPr/>
            </w:pPr>
            <w:r>
              <w:rPr/>
              <w:t>3,544,527</w:t>
            </w:r>
          </w:p>
        </w:tc>
        <w:tc>
          <w:tcPr>
            <w:tcW w:w="123" w:type="dxa"/>
            <w:tcBorders/>
            <w:shd w:fill="FFFFFF" w:val="clear"/>
            <w:vAlign w:val="center"/>
          </w:tcPr>
          <w:p>
            <w:pPr>
              <w:pStyle w:val="TableContents"/>
              <w:bidi w:val="0"/>
              <w:spacing w:before="0" w:after="283"/>
              <w:ind w:left="0" w:right="0" w:hanging="200"/>
              <w:jc w:val="left"/>
              <w:rPr/>
            </w:pPr>
            <w:r>
              <w:rPr/>
              <w:t> </w:t>
            </w:r>
          </w:p>
        </w:tc>
      </w:tr>
      <w:tr>
        <w:trPr/>
        <w:tc>
          <w:tcPr>
            <w:tcW w:w="447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bookmarkStart w:id="564" w:name="xdx_987_eus-gaap--PropertyPlantAndEquipm"/>
            <w:bookmarkEnd w:id="564"/>
          </w:p>
        </w:tc>
        <w:tc>
          <w:tcPr>
            <w:tcW w:w="1713" w:type="dxa"/>
            <w:tcBorders/>
            <w:shd w:fill="CCEEFF" w:val="clear"/>
            <w:vAlign w:val="center"/>
          </w:tcPr>
          <w:p>
            <w:pPr>
              <w:pStyle w:val="TableContents"/>
              <w:bidi w:val="0"/>
              <w:spacing w:before="0" w:after="283"/>
              <w:jc w:val="right"/>
              <w:rPr/>
            </w:pPr>
            <w:r>
              <w:rPr/>
              <w:t>212,388</w:t>
            </w:r>
          </w:p>
        </w:tc>
        <w:tc>
          <w:tcPr>
            <w:tcW w:w="1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565" w:name="xdx_983_eus-gaap--PropertyPlantAndEquipm"/>
            <w:bookmarkEnd w:id="565"/>
          </w:p>
        </w:tc>
        <w:tc>
          <w:tcPr>
            <w:tcW w:w="1238" w:type="dxa"/>
            <w:tcBorders/>
            <w:shd w:fill="CCEEFF" w:val="clear"/>
            <w:vAlign w:val="center"/>
          </w:tcPr>
          <w:p>
            <w:pPr>
              <w:pStyle w:val="TableContents"/>
              <w:bidi w:val="0"/>
              <w:spacing w:before="0" w:after="283"/>
              <w:jc w:val="right"/>
              <w:rPr/>
            </w:pPr>
            <w:r>
              <w:rPr/>
              <w:t>244,198</w:t>
            </w:r>
          </w:p>
        </w:tc>
        <w:tc>
          <w:tcPr>
            <w:tcW w:w="123" w:type="dxa"/>
            <w:tcBorders/>
            <w:shd w:fill="CCEEFF" w:val="clear"/>
            <w:vAlign w:val="center"/>
          </w:tcPr>
          <w:p>
            <w:pPr>
              <w:pStyle w:val="TableContents"/>
              <w:bidi w:val="0"/>
              <w:spacing w:before="0" w:after="283"/>
              <w:ind w:left="0" w:right="0" w:hanging="200"/>
              <w:jc w:val="left"/>
              <w:rPr/>
            </w:pPr>
            <w:r>
              <w:rPr/>
              <w:t> </w:t>
            </w:r>
          </w:p>
        </w:tc>
      </w:tr>
      <w:tr>
        <w:trPr/>
        <w:tc>
          <w:tcPr>
            <w:tcW w:w="4475" w:type="dxa"/>
            <w:tcBorders/>
            <w:shd w:fill="FFFFFF" w:val="clear"/>
            <w:vAlign w:val="center"/>
          </w:tcPr>
          <w:p>
            <w:pPr>
              <w:pStyle w:val="TableContents"/>
              <w:bidi w:val="0"/>
              <w:spacing w:before="0" w:after="283"/>
              <w:jc w:val="left"/>
              <w:rPr/>
            </w:pPr>
            <w:r>
              <w:rPr/>
              <w:t>Electronic office equipment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bookmarkStart w:id="566" w:name="xdx_98E_eus-gaap--PropertyPlantAndEquipm"/>
            <w:bookmarkEnd w:id="566"/>
          </w:p>
        </w:tc>
        <w:tc>
          <w:tcPr>
            <w:tcW w:w="1713" w:type="dxa"/>
            <w:tcBorders/>
            <w:shd w:fill="FFFFFF" w:val="clear"/>
            <w:vAlign w:val="center"/>
          </w:tcPr>
          <w:p>
            <w:pPr>
              <w:pStyle w:val="TableContents"/>
              <w:bidi w:val="0"/>
              <w:spacing w:before="0" w:after="283"/>
              <w:jc w:val="right"/>
              <w:rPr/>
            </w:pPr>
            <w:r>
              <w:rPr/>
              <w:t>178,069</w:t>
            </w:r>
          </w:p>
        </w:tc>
        <w:tc>
          <w:tcPr>
            <w:tcW w:w="1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567" w:name="xdx_986_eus-gaap--PropertyPlantAndEquipm"/>
            <w:bookmarkEnd w:id="567"/>
          </w:p>
        </w:tc>
        <w:tc>
          <w:tcPr>
            <w:tcW w:w="1238" w:type="dxa"/>
            <w:tcBorders/>
            <w:shd w:fill="FFFFFF" w:val="clear"/>
            <w:vAlign w:val="center"/>
          </w:tcPr>
          <w:p>
            <w:pPr>
              <w:pStyle w:val="TableContents"/>
              <w:bidi w:val="0"/>
              <w:spacing w:before="0" w:after="283"/>
              <w:jc w:val="right"/>
              <w:rPr/>
            </w:pPr>
            <w:r>
              <w:rPr/>
              <w:t>218,565</w:t>
            </w:r>
          </w:p>
        </w:tc>
        <w:tc>
          <w:tcPr>
            <w:tcW w:w="123" w:type="dxa"/>
            <w:tcBorders/>
            <w:shd w:fill="FFFFFF" w:val="clear"/>
            <w:vAlign w:val="center"/>
          </w:tcPr>
          <w:p>
            <w:pPr>
              <w:pStyle w:val="TableContents"/>
              <w:bidi w:val="0"/>
              <w:spacing w:before="0" w:after="283"/>
              <w:ind w:left="0" w:right="0" w:hanging="200"/>
              <w:jc w:val="left"/>
              <w:rPr/>
            </w:pPr>
            <w:r>
              <w:rPr/>
              <w:t> </w:t>
            </w:r>
          </w:p>
        </w:tc>
      </w:tr>
      <w:tr>
        <w:trPr/>
        <w:tc>
          <w:tcPr>
            <w:tcW w:w="4475"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bookmarkStart w:id="568" w:name="xdx_98C_eus-gaap--PropertyPlantAndEquipm"/>
            <w:bookmarkEnd w:id="568"/>
          </w:p>
        </w:tc>
        <w:tc>
          <w:tcPr>
            <w:tcW w:w="1713" w:type="dxa"/>
            <w:tcBorders/>
            <w:shd w:fill="CCEEFF" w:val="clear"/>
            <w:vAlign w:val="center"/>
          </w:tcPr>
          <w:p>
            <w:pPr>
              <w:pStyle w:val="TableContents"/>
              <w:bidi w:val="0"/>
              <w:spacing w:before="0" w:after="283"/>
              <w:jc w:val="right"/>
              <w:rPr/>
            </w:pPr>
            <w:r>
              <w:rPr/>
              <w:t>55,940</w:t>
            </w:r>
          </w:p>
        </w:tc>
        <w:tc>
          <w:tcPr>
            <w:tcW w:w="1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569" w:name="xdx_982_eus-gaap--PropertyPlantAndEquipm"/>
            <w:bookmarkEnd w:id="569"/>
          </w:p>
        </w:tc>
        <w:tc>
          <w:tcPr>
            <w:tcW w:w="1238" w:type="dxa"/>
            <w:tcBorders/>
            <w:shd w:fill="CCEEFF" w:val="clear"/>
            <w:vAlign w:val="center"/>
          </w:tcPr>
          <w:p>
            <w:pPr>
              <w:pStyle w:val="TableContents"/>
              <w:bidi w:val="0"/>
              <w:spacing w:before="0" w:after="283"/>
              <w:jc w:val="right"/>
              <w:rPr/>
            </w:pPr>
            <w:r>
              <w:rPr/>
              <w:t>57,655</w:t>
            </w:r>
          </w:p>
        </w:tc>
        <w:tc>
          <w:tcPr>
            <w:tcW w:w="123" w:type="dxa"/>
            <w:tcBorders/>
            <w:shd w:fill="CCEEFF" w:val="clear"/>
            <w:vAlign w:val="center"/>
          </w:tcPr>
          <w:p>
            <w:pPr>
              <w:pStyle w:val="TableContents"/>
              <w:bidi w:val="0"/>
              <w:spacing w:before="0" w:after="283"/>
              <w:ind w:left="0" w:right="0" w:hanging="200"/>
              <w:jc w:val="left"/>
              <w:rPr/>
            </w:pPr>
            <w:r>
              <w:rPr/>
              <w:t> </w:t>
            </w:r>
          </w:p>
        </w:tc>
      </w:tr>
      <w:tr>
        <w:trPr/>
        <w:tc>
          <w:tcPr>
            <w:tcW w:w="447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bookmarkStart w:id="570" w:name="xdx_98E_eus-gaap--PropertyPlantAndEquipm"/>
            <w:bookmarkEnd w:id="570"/>
          </w:p>
        </w:tc>
        <w:tc>
          <w:tcPr>
            <w:tcW w:w="1713" w:type="dxa"/>
            <w:tcBorders/>
            <w:shd w:fill="FFFFFF" w:val="clear"/>
            <w:vAlign w:val="center"/>
          </w:tcPr>
          <w:p>
            <w:pPr>
              <w:pStyle w:val="TableContents"/>
              <w:bidi w:val="0"/>
              <w:spacing w:before="0" w:after="283"/>
              <w:jc w:val="right"/>
              <w:rPr/>
            </w:pPr>
            <w:r>
              <w:rPr/>
              <w:t>909,999</w:t>
            </w:r>
          </w:p>
        </w:tc>
        <w:tc>
          <w:tcPr>
            <w:tcW w:w="1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571" w:name="xdx_98A_eus-gaap--PropertyPlantAndEquipm"/>
            <w:bookmarkEnd w:id="571"/>
          </w:p>
        </w:tc>
        <w:tc>
          <w:tcPr>
            <w:tcW w:w="1238" w:type="dxa"/>
            <w:tcBorders/>
            <w:shd w:fill="FFFFFF" w:val="clear"/>
            <w:vAlign w:val="center"/>
          </w:tcPr>
          <w:p>
            <w:pPr>
              <w:pStyle w:val="TableContents"/>
              <w:bidi w:val="0"/>
              <w:spacing w:before="0" w:after="283"/>
              <w:jc w:val="right"/>
              <w:rPr/>
            </w:pPr>
            <w:r>
              <w:rPr/>
              <w:t>1,263,286</w:t>
            </w:r>
          </w:p>
        </w:tc>
        <w:tc>
          <w:tcPr>
            <w:tcW w:w="123" w:type="dxa"/>
            <w:tcBorders/>
            <w:shd w:fill="FFFFFF" w:val="clear"/>
            <w:vAlign w:val="center"/>
          </w:tcPr>
          <w:p>
            <w:pPr>
              <w:pStyle w:val="TableContents"/>
              <w:bidi w:val="0"/>
              <w:spacing w:before="0" w:after="283"/>
              <w:ind w:left="0" w:right="0" w:hanging="200"/>
              <w:jc w:val="left"/>
              <w:rPr/>
            </w:pPr>
            <w:r>
              <w:rPr/>
              <w:t> </w:t>
            </w:r>
          </w:p>
        </w:tc>
      </w:tr>
      <w:tr>
        <w:trPr/>
        <w:tc>
          <w:tcPr>
            <w:tcW w:w="4475" w:type="dxa"/>
            <w:tcBorders/>
            <w:shd w:fill="CCEEFF" w:val="clear"/>
            <w:vAlign w:val="center"/>
          </w:tcPr>
          <w:p>
            <w:pPr>
              <w:pStyle w:val="TableContents"/>
              <w:bidi w:val="0"/>
              <w:spacing w:before="0" w:after="283"/>
              <w:jc w:val="left"/>
              <w:rPr/>
            </w:pPr>
            <w:r>
              <w:rPr/>
              <w:t>Construction in progress</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2" w:name="xdx_980_eus-gaap--PropertyPlantAndEquipm"/>
            <w:bookmarkEnd w:id="572"/>
          </w:p>
        </w:tc>
        <w:tc>
          <w:tcPr>
            <w:tcW w:w="1713" w:type="dxa"/>
            <w:tcBorders>
              <w:bottom w:val="single" w:sz="8" w:space="0" w:color="000000"/>
            </w:tcBorders>
            <w:shd w:fill="CCEEFF" w:val="clear"/>
            <w:tcMar>
              <w:bottom w:w="28" w:type="dxa"/>
            </w:tcMar>
            <w:vAlign w:val="center"/>
          </w:tcPr>
          <w:p>
            <w:pPr>
              <w:pStyle w:val="TableContents"/>
              <w:bidi w:val="0"/>
              <w:spacing w:before="0" w:after="283"/>
              <w:jc w:val="right"/>
              <w:rPr/>
            </w:pPr>
            <w:r>
              <w:rPr/>
              <w:t>131,798</w:t>
            </w:r>
          </w:p>
        </w:tc>
        <w:tc>
          <w:tcPr>
            <w:tcW w:w="1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3" w:name="xdx_980_eus-gaap--PropertyPlantAndEquipm"/>
            <w:bookmarkEnd w:id="573"/>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22,825</w:t>
            </w:r>
          </w:p>
        </w:tc>
        <w:tc>
          <w:tcPr>
            <w:tcW w:w="123" w:type="dxa"/>
            <w:tcBorders/>
            <w:shd w:fill="CCEEFF" w:val="clear"/>
            <w:vAlign w:val="center"/>
          </w:tcPr>
          <w:p>
            <w:pPr>
              <w:pStyle w:val="TableContents"/>
              <w:bidi w:val="0"/>
              <w:spacing w:before="0" w:after="283"/>
              <w:ind w:left="0" w:right="0" w:hanging="200"/>
              <w:jc w:val="left"/>
              <w:rPr/>
            </w:pPr>
            <w:r>
              <w:rPr/>
              <w:t> </w:t>
            </w:r>
          </w:p>
        </w:tc>
      </w:tr>
      <w:tr>
        <w:trPr/>
        <w:tc>
          <w:tcPr>
            <w:tcW w:w="4475" w:type="dxa"/>
            <w:tcBorders/>
            <w:shd w:fill="FFFFFF" w:val="clear"/>
            <w:vAlign w:val="center"/>
          </w:tcPr>
          <w:p>
            <w:pPr>
              <w:pStyle w:val="TableContents"/>
              <w:bidi w:val="0"/>
              <w:spacing w:before="0" w:after="283"/>
              <w:jc w:val="left"/>
              <w:rPr>
                <w:b/>
              </w:rPr>
            </w:pPr>
            <w:r>
              <w:rPr>
                <w:b/>
              </w:rPr>
              <w:t>Gross amount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4" w:name="xdx_983_eus-gaap--PropertyPlantAndEquipm"/>
            <w:bookmarkEnd w:id="574"/>
          </w:p>
        </w:tc>
        <w:tc>
          <w:tcPr>
            <w:tcW w:w="171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15,888,237</w:t>
            </w:r>
          </w:p>
        </w:tc>
        <w:tc>
          <w:tcPr>
            <w:tcW w:w="1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5" w:name="xdx_984_eus-gaap--PropertyPlantAndEquipm"/>
            <w:bookmarkEnd w:id="575"/>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17,556,682</w:t>
            </w:r>
          </w:p>
        </w:tc>
        <w:tc>
          <w:tcPr>
            <w:tcW w:w="123" w:type="dxa"/>
            <w:tcBorders/>
            <w:shd w:fill="FFFFFF" w:val="clear"/>
            <w:vAlign w:val="center"/>
          </w:tcPr>
          <w:p>
            <w:pPr>
              <w:pStyle w:val="TableContents"/>
              <w:bidi w:val="0"/>
              <w:spacing w:before="0" w:after="283"/>
              <w:ind w:left="0" w:right="0" w:hanging="200"/>
              <w:jc w:val="left"/>
              <w:rPr/>
            </w:pPr>
            <w:r>
              <w:rPr/>
              <w:t> </w:t>
            </w:r>
          </w:p>
        </w:tc>
      </w:tr>
      <w:tr>
        <w:trPr/>
        <w:tc>
          <w:tcPr>
            <w:tcW w:w="447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bookmarkStart w:id="576" w:name="xdx_982_eus-gaap--AccumulatedDepreciatio"/>
            <w:bookmarkEnd w:id="576"/>
          </w:p>
        </w:tc>
        <w:tc>
          <w:tcPr>
            <w:tcW w:w="1713" w:type="dxa"/>
            <w:tcBorders/>
            <w:shd w:fill="CCEEFF" w:val="clear"/>
            <w:vAlign w:val="center"/>
          </w:tcPr>
          <w:p>
            <w:pPr>
              <w:pStyle w:val="TableContents"/>
              <w:bidi w:val="0"/>
              <w:spacing w:before="0" w:after="283"/>
              <w:jc w:val="right"/>
              <w:rPr/>
            </w:pPr>
            <w:r>
              <w:rPr/>
              <w:t>(3,506,001</w:t>
            </w:r>
          </w:p>
        </w:tc>
        <w:tc>
          <w:tcPr>
            <w:tcW w:w="14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577" w:name="xdx_98B_eus-gaap--AccumulatedDepreciatio"/>
            <w:bookmarkEnd w:id="577"/>
          </w:p>
        </w:tc>
        <w:tc>
          <w:tcPr>
            <w:tcW w:w="1238" w:type="dxa"/>
            <w:tcBorders/>
            <w:shd w:fill="CCEEFF" w:val="clear"/>
            <w:vAlign w:val="center"/>
          </w:tcPr>
          <w:p>
            <w:pPr>
              <w:pStyle w:val="TableContents"/>
              <w:bidi w:val="0"/>
              <w:spacing w:before="0" w:after="283"/>
              <w:jc w:val="right"/>
              <w:rPr/>
            </w:pPr>
            <w:r>
              <w:rPr/>
              <w:t>(4,223,450</w:t>
            </w:r>
          </w:p>
        </w:tc>
        <w:tc>
          <w:tcPr>
            <w:tcW w:w="123" w:type="dxa"/>
            <w:tcBorders/>
            <w:shd w:fill="CCEEFF" w:val="clear"/>
            <w:vAlign w:val="center"/>
          </w:tcPr>
          <w:p>
            <w:pPr>
              <w:pStyle w:val="TableContents"/>
              <w:bidi w:val="0"/>
              <w:spacing w:before="0" w:after="283"/>
              <w:ind w:left="0" w:right="0" w:hanging="200"/>
              <w:jc w:val="left"/>
              <w:rPr/>
            </w:pPr>
            <w:r>
              <w:rPr/>
              <w:t>)</w:t>
            </w:r>
          </w:p>
        </w:tc>
      </w:tr>
      <w:tr>
        <w:trPr/>
        <w:tc>
          <w:tcPr>
            <w:tcW w:w="4475" w:type="dxa"/>
            <w:tcBorders/>
            <w:shd w:fill="FFFFFF" w:val="clear"/>
            <w:vAlign w:val="center"/>
          </w:tcPr>
          <w:p>
            <w:pPr>
              <w:pStyle w:val="TableContents"/>
              <w:bidi w:val="0"/>
              <w:spacing w:before="0" w:after="283"/>
              <w:jc w:val="left"/>
              <w:rPr/>
            </w:pPr>
            <w:r>
              <w:rPr/>
              <w:t>Less: amortization of leasehold improvements</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8" w:name="xdx_980_ecustom--AmortizationOfLeasehold"/>
            <w:bookmarkEnd w:id="578"/>
          </w:p>
        </w:tc>
        <w:tc>
          <w:tcPr>
            <w:tcW w:w="1713" w:type="dxa"/>
            <w:tcBorders>
              <w:bottom w:val="single" w:sz="8" w:space="0" w:color="000000"/>
            </w:tcBorders>
            <w:shd w:fill="FFFFFF" w:val="clear"/>
            <w:tcMar>
              <w:bottom w:w="28" w:type="dxa"/>
            </w:tcMar>
            <w:vAlign w:val="center"/>
          </w:tcPr>
          <w:p>
            <w:pPr>
              <w:pStyle w:val="TableContents"/>
              <w:bidi w:val="0"/>
              <w:spacing w:before="0" w:after="283"/>
              <w:jc w:val="right"/>
              <w:rPr/>
            </w:pPr>
            <w:r>
              <w:rPr/>
              <w:t>(110,361</w:t>
            </w:r>
          </w:p>
        </w:tc>
        <w:tc>
          <w:tcPr>
            <w:tcW w:w="14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9" w:name="xdx_984_ecustom--AmortizationOfLeasehold"/>
            <w:bookmarkEnd w:id="579"/>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(235,187</w:t>
            </w:r>
          </w:p>
        </w:tc>
        <w:tc>
          <w:tcPr>
            <w:tcW w:w="123" w:type="dxa"/>
            <w:tcBorders/>
            <w:shd w:fill="FFFFFF" w:val="clear"/>
            <w:vAlign w:val="center"/>
          </w:tcPr>
          <w:p>
            <w:pPr>
              <w:pStyle w:val="TableContents"/>
              <w:bidi w:val="0"/>
              <w:spacing w:before="0" w:after="283"/>
              <w:ind w:left="0" w:right="0" w:hanging="200"/>
              <w:jc w:val="left"/>
              <w:rPr/>
            </w:pPr>
            <w:r>
              <w:rPr/>
              <w:t>)</w:t>
            </w:r>
          </w:p>
        </w:tc>
      </w:tr>
      <w:tr>
        <w:trPr/>
        <w:tc>
          <w:tcPr>
            <w:tcW w:w="4475" w:type="dxa"/>
            <w:tcBorders/>
            <w:shd w:fill="CCEEFF" w:val="clear"/>
            <w:vAlign w:val="center"/>
          </w:tcPr>
          <w:p>
            <w:pPr>
              <w:pStyle w:val="TableContents"/>
              <w:bidi w:val="0"/>
              <w:spacing w:before="0" w:after="283"/>
              <w:jc w:val="left"/>
              <w:rPr>
                <w:b/>
              </w:rPr>
            </w:pPr>
            <w:r>
              <w:rPr>
                <w:b/>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80" w:name="xdx_98A_eus-gaap--PropertyPlantAndEquipm"/>
            <w:bookmarkEnd w:id="580"/>
          </w:p>
        </w:tc>
        <w:tc>
          <w:tcPr>
            <w:tcW w:w="17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12,271,875</w:t>
            </w:r>
          </w:p>
        </w:tc>
        <w:tc>
          <w:tcPr>
            <w:tcW w:w="1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81" w:name="xdx_985_eus-gaap--PropertyPlantAndEquipm"/>
            <w:bookmarkEnd w:id="581"/>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13,098,045</w:t>
            </w:r>
          </w:p>
        </w:tc>
        <w:tc>
          <w:tcPr>
            <w:tcW w:w="123"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F-23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582" w:name="xdx_230_zWUR9UYa7rD9"/>
      <w:bookmarkEnd w:id="582"/>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20"/>
              </w:rPr>
            </w:pPr>
            <w:r>
              <w:rPr>
                <w:sz w:val="20"/>
              </w:rPr>
              <w:t>(1)</w:t>
            </w:r>
          </w:p>
        </w:tc>
        <w:tc>
          <w:tcPr>
            <w:tcW w:w="9909" w:type="dxa"/>
            <w:tcBorders/>
            <w:vAlign w:val="center"/>
          </w:tcPr>
          <w:p>
            <w:pPr>
              <w:pStyle w:val="TableContents"/>
              <w:bidi w:val="0"/>
              <w:spacing w:before="0" w:after="283"/>
              <w:jc w:val="both"/>
              <w:rPr>
                <w:sz w:val="20"/>
              </w:rPr>
            </w:pPr>
            <w:r>
              <w:rPr>
                <w:sz w:val="20"/>
              </w:rPr>
              <w:t>In August 2024, Zhongke Components entered into an agreement with a third-party as a lessor to lease the fourth floor for two years and a half. The lease agreement will expire in February 2027.</w:t>
            </w:r>
          </w:p>
        </w:tc>
      </w:tr>
    </w:tbl>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20"/>
              </w:rPr>
            </w:pPr>
            <w:r>
              <w:rPr>
                <w:sz w:val="20"/>
              </w:rPr>
              <w:t>(2)</w:t>
            </w:r>
          </w:p>
        </w:tc>
        <w:tc>
          <w:tcPr>
            <w:tcW w:w="9916" w:type="dxa"/>
            <w:tcBorders/>
            <w:vAlign w:val="center"/>
          </w:tcPr>
          <w:p>
            <w:pPr>
              <w:pStyle w:val="TableContents"/>
              <w:bidi w:val="0"/>
              <w:spacing w:before="0" w:after="283"/>
              <w:jc w:val="both"/>
              <w:rPr>
                <w:sz w:val="20"/>
              </w:rPr>
            </w:pPr>
            <w:r>
              <w:rPr>
                <w:sz w:val="20"/>
              </w:rPr>
              <w:t>For the six months ended June 30, 2025 and 2026, RMB</w:t>
            </w:r>
            <w:bookmarkStart w:id="583" w:name="xdx_908_eus-gaap--PropertyPlantAndEquipm"/>
            <w:bookmarkEnd w:id="583"/>
            <w:r>
              <w:rPr>
                <w:sz w:val="20"/>
              </w:rPr>
              <w:t>2,058,270 (equivalent to US$</w:t>
            </w:r>
            <w:bookmarkStart w:id="584" w:name="xdx_906_eus-gaap--PropertyPlantAndEquipm"/>
            <w:bookmarkEnd w:id="584"/>
            <w:r>
              <w:rPr>
                <w:sz w:val="20"/>
              </w:rPr>
              <w:t>284,456) and RMB</w:t>
            </w:r>
            <w:bookmarkStart w:id="585" w:name="xdx_909_eus-gaap--PropertyPlantAndEquipm"/>
            <w:bookmarkEnd w:id="585"/>
            <w:r>
              <w:rPr>
                <w:sz w:val="20"/>
              </w:rPr>
              <w:t>1,070,009 (equivalent to US$</w:t>
            </w:r>
            <w:bookmarkStart w:id="586" w:name="xdx_907_eus-gaap--PropertyPlantAndEquipm"/>
            <w:bookmarkEnd w:id="586"/>
            <w:r>
              <w:rPr>
                <w:sz w:val="20"/>
              </w:rPr>
              <w:t>155,923)   of construction in progress was transferred to property, plant and equipment, respectively.</w:t>
            </w:r>
          </w:p>
        </w:tc>
      </w:tr>
    </w:tbl>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sz w:val="20"/>
              </w:rPr>
            </w:pPr>
            <w:r>
              <w:rPr>
                <w:sz w:val="20"/>
              </w:rPr>
              <w:t>(3)</w:t>
            </w:r>
          </w:p>
        </w:tc>
        <w:tc>
          <w:tcPr>
            <w:tcW w:w="9914" w:type="dxa"/>
            <w:tcBorders/>
            <w:vAlign w:val="center"/>
          </w:tcPr>
          <w:p>
            <w:pPr>
              <w:pStyle w:val="TableContents"/>
              <w:bidi w:val="0"/>
              <w:spacing w:before="0" w:after="283"/>
              <w:jc w:val="both"/>
              <w:rPr>
                <w:sz w:val="20"/>
              </w:rPr>
            </w:pPr>
            <w:r>
              <w:rPr>
                <w:sz w:val="20"/>
              </w:rPr>
              <w:t>For the six months ended June 30, 2025 and 2026, the Company recorded no impairment on its property, plant and equipment. And no property, plant and equipment were pledged as of December 31, 2025 and June 30, 2026.</w:t>
            </w:r>
          </w:p>
        </w:tc>
      </w:tr>
    </w:tbl>
    <w:p>
      <w:pPr>
        <w:pStyle w:val="TextBody"/>
        <w:bidi w:val="0"/>
        <w:ind w:left="360" w:right="0" w:hanging="36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245"/>
        <w:gridCol w:w="97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(4)</w:t>
            </w:r>
          </w:p>
        </w:tc>
        <w:tc>
          <w:tcPr>
            <w:tcW w:w="9770" w:type="dxa"/>
            <w:tcBorders/>
            <w:vAlign w:val="center"/>
          </w:tcPr>
          <w:p>
            <w:pPr>
              <w:pStyle w:val="TableContents"/>
              <w:bidi w:val="0"/>
              <w:spacing w:before="0" w:after="283"/>
              <w:jc w:val="both"/>
              <w:rPr>
                <w:sz w:val="20"/>
              </w:rPr>
            </w:pPr>
            <w:r>
              <w:rPr>
                <w:sz w:val="20"/>
              </w:rPr>
              <w:t>Depreciation expense was US$</w:t>
            </w:r>
            <w:bookmarkStart w:id="587" w:name="xdx_907_eus-gaap--Depreciation_c20250101"/>
            <w:bookmarkEnd w:id="587"/>
            <w:r>
              <w:rPr>
                <w:sz w:val="20"/>
              </w:rPr>
              <w:t>333,037 and US$</w:t>
            </w:r>
            <w:bookmarkStart w:id="588" w:name="xdx_90B_eus-gaap--Depreciation_c20260101"/>
            <w:bookmarkEnd w:id="588"/>
            <w:r>
              <w:rPr>
                <w:sz w:val="20"/>
              </w:rPr>
              <w:t>725,762 for the six months ended June 30, 2025 and 2026, respectively.</w:t>
            </w:r>
          </w:p>
        </w:tc>
      </w:tr>
    </w:tbl>
    <w:p>
      <w:pPr>
        <w:pStyle w:val="TextBody"/>
        <w:bidi w:val="0"/>
        <w:ind w:left="360" w:right="0" w:hanging="360"/>
        <w:jc w:val="both"/>
        <w:rPr>
          <w:caps w:val="false"/>
          <w:smallCaps w:val="false"/>
        </w:rPr>
      </w:pPr>
      <w:bookmarkStart w:id="589" w:name="xdx_8A5_zbv1AUMqXoH1"/>
      <w:bookmarkEnd w:id="589"/>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590" w:name="xdx_806_eus-gaap--AccountsPayableAccrued"/>
      <w:bookmarkEnd w:id="590"/>
      <w:r>
        <w:rPr>
          <w:rFonts w:ascii="Times New Roman;Times;Serif" w:hAnsi="Times New Roman;Times;Serif"/>
          <w:b/>
          <w:i w:val="false"/>
          <w:caps w:val="false"/>
          <w:smallCaps w:val="false"/>
          <w:sz w:val="20"/>
        </w:rPr>
        <w:t xml:space="preserve">9. </w:t>
      </w:r>
      <w:bookmarkStart w:id="591" w:name="xdx_826_zTrZvBSu5JW9"/>
      <w:bookmarkEnd w:id="591"/>
      <w:r>
        <w:rPr>
          <w:rFonts w:ascii="Times New Roman;Times;Serif" w:hAnsi="Times New Roman;Times;Serif"/>
          <w:b/>
          <w:i w:val="false"/>
          <w:caps w:val="false"/>
          <w:smallCaps w:val="false"/>
          <w:sz w:val="20"/>
        </w:rPr>
        <w:t>ACCRUED EXPENSES AND OTHER CURRENT LIABILITIES</w:t>
      </w:r>
    </w:p>
    <w:p>
      <w:pPr>
        <w:pStyle w:val="TextBody"/>
        <w:bidi w:val="0"/>
        <w:ind w:left="647" w:right="0" w:hanging="647"/>
        <w:jc w:val="both"/>
        <w:rPr>
          <w:caps w:val="false"/>
          <w:smallCaps w:val="false"/>
        </w:rPr>
      </w:pPr>
      <w:r>
        <w:rPr>
          <w:caps w:val="false"/>
          <w:smallCaps w:val="false"/>
        </w:rPr>
        <w:t> </w:t>
      </w:r>
    </w:p>
    <w:p>
      <w:pPr>
        <w:pStyle w:val="TextBody"/>
        <w:bidi w:val="0"/>
        <w:ind w:left="647" w:right="0" w:hanging="6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ind w:left="647" w:right="0" w:hanging="647"/>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92" w:name="xdx_892_eus-gaap--ScheduleOfAccountsPaya"/>
      <w:bookmarkStart w:id="593" w:name="xdx_892_eus-gaap--ScheduleOfAccountsPaya"/>
      <w:bookmarkEnd w:id="593"/>
    </w:p>
    <w:tbl>
      <w:tblPr>
        <w:tblW w:w="9011" w:type="dxa"/>
        <w:jc w:val="left"/>
        <w:tblInd w:w="0" w:type="dxa"/>
        <w:tblLayout w:type="fixed"/>
        <w:tblCellMar>
          <w:top w:w="0" w:type="dxa"/>
          <w:left w:w="0" w:type="dxa"/>
          <w:bottom w:w="0" w:type="dxa"/>
          <w:right w:w="0" w:type="dxa"/>
        </w:tblCellMar>
      </w:tblPr>
      <w:tblGrid>
        <w:gridCol w:w="5510"/>
        <w:gridCol w:w="60"/>
        <w:gridCol w:w="106"/>
        <w:gridCol w:w="1741"/>
        <w:gridCol w:w="106"/>
        <w:gridCol w:w="60"/>
        <w:gridCol w:w="76"/>
        <w:gridCol w:w="1256"/>
        <w:gridCol w:w="96"/>
      </w:tblGrid>
      <w:tr>
        <w:trPr/>
        <w:tc>
          <w:tcPr>
            <w:tcW w:w="5510" w:type="dxa"/>
            <w:tcBorders/>
            <w:shd w:fill="FFFFFF" w:val="clear"/>
            <w:vAlign w:val="center"/>
          </w:tcPr>
          <w:p>
            <w:pPr>
              <w:pStyle w:val="TableContents"/>
              <w:bidi w:val="0"/>
              <w:spacing w:before="0" w:after="283"/>
              <w:ind w:left="0" w:right="0" w:hanging="200"/>
              <w:jc w:val="left"/>
              <w:rPr/>
            </w:pPr>
            <w:bookmarkStart w:id="594" w:name="xdx_8B5_zgsLkoR00QW5"/>
            <w:bookmarkEnd w:id="594"/>
            <w:r>
              <w:rPr/>
              <w:t>Schedule of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bookmarkStart w:id="595" w:name="xdx_490_20251231_zs4ugWRVQ627"/>
            <w:bookmarkEnd w:id="595"/>
          </w:p>
        </w:tc>
        <w:tc>
          <w:tcPr>
            <w:tcW w:w="174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596" w:name="xdx_495_20260630_z8dl8hT0Tq5c"/>
            <w:bookmarkEnd w:id="596"/>
          </w:p>
        </w:tc>
        <w:tc>
          <w:tcPr>
            <w:tcW w:w="1256"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200"/>
              <w:jc w:val="left"/>
              <w:rPr/>
            </w:pPr>
            <w:r>
              <w:rPr/>
              <w:t> </w:t>
            </w:r>
          </w:p>
        </w:tc>
      </w:tr>
      <w:tr>
        <w:trPr/>
        <w:tc>
          <w:tcPr>
            <w:tcW w:w="5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41"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5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42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5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$US</w:t>
            </w:r>
          </w:p>
        </w:tc>
      </w:tr>
      <w:tr>
        <w:trPr/>
        <w:tc>
          <w:tcPr>
            <w:tcW w:w="5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(Unaudited)</w:t>
            </w:r>
            <w:bookmarkStart w:id="597" w:name="xdx_400_eus-gaap--AccruedMarketingCostsC"/>
            <w:bookmarkEnd w:id="597"/>
          </w:p>
        </w:tc>
      </w:tr>
      <w:tr>
        <w:trPr/>
        <w:tc>
          <w:tcPr>
            <w:tcW w:w="5510" w:type="dxa"/>
            <w:tcBorders/>
            <w:shd w:fill="CCEEFF" w:val="clear"/>
            <w:vAlign w:val="center"/>
          </w:tcPr>
          <w:p>
            <w:pPr>
              <w:pStyle w:val="TableContents"/>
              <w:bidi w:val="0"/>
              <w:spacing w:before="0" w:after="283"/>
              <w:jc w:val="left"/>
              <w:rPr>
                <w:sz w:val="20"/>
              </w:rPr>
            </w:pPr>
            <w:r>
              <w:rPr>
                <w:sz w:val="20"/>
              </w:rPr>
              <w:t xml:space="preserve">Accrued marketing expansion expenses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t>2,000,725</w:t>
            </w:r>
          </w:p>
        </w:tc>
        <w:tc>
          <w:tcPr>
            <w:tcW w:w="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1,927,232</w:t>
            </w:r>
          </w:p>
        </w:tc>
        <w:tc>
          <w:tcPr>
            <w:tcW w:w="96" w:type="dxa"/>
            <w:tcBorders/>
            <w:shd w:fill="CCEEFF" w:val="clear"/>
            <w:vAlign w:val="center"/>
          </w:tcPr>
          <w:p>
            <w:pPr>
              <w:pStyle w:val="TableContents"/>
              <w:bidi w:val="0"/>
              <w:spacing w:before="0" w:after="283"/>
              <w:ind w:left="0" w:right="0" w:hanging="200"/>
              <w:jc w:val="left"/>
              <w:rPr/>
            </w:pPr>
            <w:r>
              <w:rPr/>
              <w:t> </w:t>
            </w:r>
            <w:bookmarkStart w:id="598" w:name="xdx_400_eus-gaap--AccruedPayrollTaxesCur"/>
            <w:bookmarkEnd w:id="598"/>
          </w:p>
        </w:tc>
      </w:tr>
      <w:tr>
        <w:trPr/>
        <w:tc>
          <w:tcPr>
            <w:tcW w:w="5510" w:type="dxa"/>
            <w:tcBorders/>
            <w:shd w:fill="FFFFFF" w:val="clear"/>
            <w:vAlign w:val="center"/>
          </w:tcPr>
          <w:p>
            <w:pPr>
              <w:pStyle w:val="TableContents"/>
              <w:bidi w:val="0"/>
              <w:spacing w:before="0" w:after="283"/>
              <w:jc w:val="left"/>
              <w:rPr/>
            </w:pPr>
            <w:r>
              <w:rPr/>
              <w:t>Accrued payroll and social insurance</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741" w:type="dxa"/>
            <w:tcBorders/>
            <w:shd w:fill="FFFFFF" w:val="clear"/>
            <w:vAlign w:val="center"/>
          </w:tcPr>
          <w:p>
            <w:pPr>
              <w:pStyle w:val="TableContents"/>
              <w:bidi w:val="0"/>
              <w:spacing w:before="0" w:after="283"/>
              <w:jc w:val="right"/>
              <w:rPr/>
            </w:pPr>
            <w:r>
              <w:rPr/>
              <w:t>1,068,421</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808,054</w:t>
            </w:r>
          </w:p>
        </w:tc>
        <w:tc>
          <w:tcPr>
            <w:tcW w:w="96" w:type="dxa"/>
            <w:tcBorders/>
            <w:shd w:fill="FFFFFF" w:val="clear"/>
            <w:vAlign w:val="center"/>
          </w:tcPr>
          <w:p>
            <w:pPr>
              <w:pStyle w:val="TableContents"/>
              <w:bidi w:val="0"/>
              <w:spacing w:before="0" w:after="283"/>
              <w:ind w:left="0" w:right="0" w:hanging="200"/>
              <w:jc w:val="left"/>
              <w:rPr/>
            </w:pPr>
            <w:r>
              <w:rPr/>
              <w:t> </w:t>
            </w:r>
            <w:bookmarkStart w:id="599" w:name="xdx_405_eus-gaap--AccruedIncomeTaxesCurr"/>
            <w:bookmarkEnd w:id="599"/>
          </w:p>
        </w:tc>
      </w:tr>
      <w:tr>
        <w:trPr/>
        <w:tc>
          <w:tcPr>
            <w:tcW w:w="5510"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t>80,132</w:t>
            </w:r>
          </w:p>
        </w:tc>
        <w:tc>
          <w:tcPr>
            <w:tcW w:w="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23,388</w:t>
            </w:r>
          </w:p>
        </w:tc>
        <w:tc>
          <w:tcPr>
            <w:tcW w:w="96" w:type="dxa"/>
            <w:tcBorders/>
            <w:shd w:fill="CCEEFF" w:val="clear"/>
            <w:vAlign w:val="center"/>
          </w:tcPr>
          <w:p>
            <w:pPr>
              <w:pStyle w:val="TableContents"/>
              <w:bidi w:val="0"/>
              <w:spacing w:before="0" w:after="283"/>
              <w:ind w:left="0" w:right="0" w:hanging="200"/>
              <w:jc w:val="left"/>
              <w:rPr/>
            </w:pPr>
            <w:r>
              <w:rPr/>
              <w:t> </w:t>
            </w:r>
            <w:bookmarkStart w:id="600" w:name="xdx_403_ecustom--OtherAccruedExpenses_iI"/>
            <w:bookmarkEnd w:id="600"/>
          </w:p>
        </w:tc>
      </w:tr>
      <w:tr>
        <w:trPr/>
        <w:tc>
          <w:tcPr>
            <w:tcW w:w="5510" w:type="dxa"/>
            <w:tcBorders/>
            <w:shd w:fill="FFFFFF" w:val="clear"/>
            <w:vAlign w:val="center"/>
          </w:tcPr>
          <w:p>
            <w:pPr>
              <w:pStyle w:val="TableContents"/>
              <w:bidi w:val="0"/>
              <w:spacing w:before="0" w:after="283"/>
              <w:jc w:val="left"/>
              <w:rPr>
                <w:sz w:val="20"/>
              </w:rPr>
            </w:pPr>
            <w:r>
              <w:rPr>
                <w:sz w:val="20"/>
              </w:rPr>
              <w:t xml:space="preserve">Other accrued expenses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741" w:type="dxa"/>
            <w:tcBorders/>
            <w:shd w:fill="FFFFFF" w:val="clear"/>
            <w:vAlign w:val="center"/>
          </w:tcPr>
          <w:p>
            <w:pPr>
              <w:pStyle w:val="TableContents"/>
              <w:bidi w:val="0"/>
              <w:spacing w:before="0" w:after="283"/>
              <w:jc w:val="right"/>
              <w:rPr/>
            </w:pPr>
            <w:r>
              <w:rPr/>
              <w:t>434,179</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740,904</w:t>
            </w:r>
          </w:p>
        </w:tc>
        <w:tc>
          <w:tcPr>
            <w:tcW w:w="96" w:type="dxa"/>
            <w:tcBorders/>
            <w:shd w:fill="FFFFFF" w:val="clear"/>
            <w:vAlign w:val="center"/>
          </w:tcPr>
          <w:p>
            <w:pPr>
              <w:pStyle w:val="TableContents"/>
              <w:bidi w:val="0"/>
              <w:spacing w:before="0" w:after="283"/>
              <w:ind w:left="0" w:right="0" w:hanging="200"/>
              <w:jc w:val="left"/>
              <w:rPr/>
            </w:pPr>
            <w:r>
              <w:rPr/>
              <w:t> </w:t>
            </w:r>
            <w:bookmarkStart w:id="601" w:name="xdx_400_eus-gaap--ContractWithCustomerLi"/>
            <w:bookmarkEnd w:id="601"/>
          </w:p>
        </w:tc>
      </w:tr>
      <w:tr>
        <w:trPr/>
        <w:tc>
          <w:tcPr>
            <w:tcW w:w="551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pPr>
            <w:r>
              <w:rPr/>
              <w:t>150,426</w:t>
            </w:r>
          </w:p>
        </w:tc>
        <w:tc>
          <w:tcPr>
            <w:tcW w:w="96" w:type="dxa"/>
            <w:tcBorders/>
            <w:shd w:fill="CCEEFF" w:val="clear"/>
            <w:vAlign w:val="center"/>
          </w:tcPr>
          <w:p>
            <w:pPr>
              <w:pStyle w:val="TableContents"/>
              <w:bidi w:val="0"/>
              <w:spacing w:before="0" w:after="283"/>
              <w:ind w:left="0" w:right="0" w:hanging="200"/>
              <w:jc w:val="left"/>
              <w:rPr/>
            </w:pPr>
            <w:r>
              <w:rPr/>
              <w:t> </w:t>
            </w:r>
            <w:bookmarkStart w:id="602" w:name="xdx_40C_eus-gaap--OtherAccruedLiabilitie"/>
            <w:bookmarkEnd w:id="602"/>
          </w:p>
        </w:tc>
      </w:tr>
      <w:tr>
        <w:trPr/>
        <w:tc>
          <w:tcPr>
            <w:tcW w:w="5510" w:type="dxa"/>
            <w:tcBorders/>
            <w:shd w:fill="FFFFFF" w:val="clear"/>
            <w:vAlign w:val="center"/>
          </w:tcPr>
          <w:p>
            <w:pPr>
              <w:pStyle w:val="TableContents"/>
              <w:bidi w:val="0"/>
              <w:spacing w:before="0" w:after="283"/>
              <w:jc w:val="left"/>
              <w:rPr>
                <w:b/>
              </w:rPr>
            </w:pPr>
            <w:r>
              <w:rPr>
                <w:b/>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3,583,457</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3,650,004</w:t>
            </w:r>
          </w:p>
        </w:tc>
        <w:tc>
          <w:tcPr>
            <w:tcW w:w="96"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(1)</w:t>
            </w:r>
          </w:p>
        </w:tc>
        <w:tc>
          <w:tcPr>
            <w:tcW w:w="9924" w:type="dxa"/>
            <w:tcBorders/>
            <w:vAlign w:val="center"/>
          </w:tcPr>
          <w:p>
            <w:pPr>
              <w:pStyle w:val="TableContents"/>
              <w:bidi w:val="0"/>
              <w:spacing w:before="0" w:after="283"/>
              <w:jc w:val="both"/>
              <w:rPr>
                <w:sz w:val="20"/>
              </w:rPr>
            </w:pPr>
            <w:r>
              <w:rPr>
                <w:sz w:val="20"/>
              </w:rPr>
              <w:t>Accrued marketing expansion expenses as of December 31, 2025 and June 30, 2026 primarily related to expenses incurred for expanding into markets including North America, Singapore, and Taiwan, China.</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(2)</w:t>
            </w:r>
          </w:p>
        </w:tc>
        <w:tc>
          <w:tcPr>
            <w:tcW w:w="9924" w:type="dxa"/>
            <w:tcBorders/>
            <w:vAlign w:val="center"/>
          </w:tcPr>
          <w:p>
            <w:pPr>
              <w:pStyle w:val="TableContents"/>
              <w:bidi w:val="0"/>
              <w:spacing w:before="0" w:after="283"/>
              <w:jc w:val="both"/>
              <w:rPr>
                <w:sz w:val="20"/>
              </w:rPr>
            </w:pPr>
            <w:r>
              <w:rPr>
                <w:sz w:val="20"/>
              </w:rPr>
              <w:t>Other accrued expenses as of December 31, 2025 and June 30, 2026 mainly included accrue refund liability, payable rental fees, legal fees and expenses paid by employees on behalf of the company, such as travel expenses, payable miscellaneous expenses such as utilities and office expenses for daily operations.</w:t>
            </w:r>
          </w:p>
        </w:tc>
      </w:tr>
    </w:tbl>
    <w:p>
      <w:pPr>
        <w:pStyle w:val="TextBody"/>
        <w:bidi w:val="0"/>
        <w:ind w:left="360" w:right="0" w:hanging="360"/>
        <w:jc w:val="both"/>
        <w:rPr>
          <w:caps w:val="false"/>
          <w:smallCaps w:val="false"/>
        </w:rPr>
      </w:pPr>
      <w:bookmarkStart w:id="603" w:name="xdx_8AD_z0lIY0FprEKa"/>
      <w:bookmarkEnd w:id="603"/>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604" w:name="xdx_800_eus-gaap--IncomeTaxDisclosureTex"/>
      <w:bookmarkEnd w:id="604"/>
      <w:r>
        <w:rPr>
          <w:rFonts w:ascii="Times New Roman;Times;Serif" w:hAnsi="Times New Roman;Times;Serif"/>
          <w:b/>
          <w:i w:val="false"/>
          <w:caps w:val="false"/>
          <w:smallCaps w:val="false"/>
          <w:sz w:val="20"/>
        </w:rPr>
        <w:t xml:space="preserve">10. </w:t>
      </w:r>
      <w:bookmarkStart w:id="605" w:name="xdx_823_z2GdaIeal7A3"/>
      <w:bookmarkEnd w:id="605"/>
      <w:r>
        <w:rPr>
          <w:rFonts w:ascii="Times New Roman;Times;Serif" w:hAnsi="Times New Roman;Times;Serif"/>
          <w:b/>
          <w:i w:val="false"/>
          <w:caps w:val="false"/>
          <w:smallCaps w:val="false"/>
          <w:sz w:val="20"/>
        </w:rPr>
        <w:t>INCOME TAXES</w:t>
      </w:r>
    </w:p>
    <w:p>
      <w:pPr>
        <w:pStyle w:val="TextBody"/>
        <w:bidi w:val="0"/>
        <w:ind w:left="647" w:right="0" w:hanging="647"/>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the Company is not subject to tax on income or capital gain. Additionally, the Cayman Islands does not impose a withholding tax on payments of dividends to shareholders. No stamp duty is payable in respect of the issue of the shares or on an instrument of transfer in respect of a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 S.A.R.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Hong Kong S.A.R. Inland Revenue Ordinance, the Company’s Hong Kong S.A.R. subsidiary is subject to Hong Kong S.A.R. profits tax at the rate of 16.5% on its taxable income generated from the operations in Hong Kong S.A.R. Payments of dividends by the Hong Kong S.A.R. subsidiary to the Company is not subject to withholding tax in Hong Kong S.A.R. A two-tiered profits tax rates regime was introduced in 2018 where the first HK$2 million of assessable profits earned by a company will be taxed at half of the current tax rate (8.25%) whilst the remaining profits will continue to be taxed at 16.5%. There is an anti-fragmentation measure where each group will have to nominate only one company in the group to benefit from the progressive rates. No provision for Hong Kong profits tax has been made in the financial statements as the subsidiary in Hong Kong had no assessable profits for the six months ended June 30, 2025 and 2026.</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F-24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606" w:name="xdx_236_zIkpqDg2fec6"/>
      <w:bookmarkEnd w:id="606"/>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Vietnam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corporate income tax rate applied for subsidiaries in Vietnam is 20% of taxable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PRC subsidiaries are subject to the PRC Corporate Income Tax Law (“CIT Law”) and are taxed at the statutory income tax rate of 25%, unless otherwise specified. In March 2007, a new enterprise income tax law (the “New EIT Law”) in the PRC was enacted which became effective on January 1, 2008. The New EIT Law applies a unified 25% enterprise income tax (“EIT”) rate to both foreign invested enterprises and domestic enterprises, unless a preferential EIT rate is otherwise stipulated. On April 14, 2008, relevant governmental regulatory authorities released further qualification criteria, application procedures and assessment processes for meeting the High and New Technology Enterprise (“HNTE”) status under the New EIT Law which would entitle qualified and approved entities to a favorable EIT tax rate of 15%. In April 2009 and June 2017, the State Administration for Taxation (“SAT”) issued Circular Guoshuihan [2009] No. 203 (“Circular 203”) and SAT Announcement [2017] No. 24 (“Announcement 24”) stipulating that entities which qualified for the HNTE status should apply with in-charge tax authorities to enjoy the reduced EIT rate of 15% provided under the New EIT Law starting from the year when the new HNTE certificate becomes effective. The HNTE certificate is effective for a period of three years and can be renewed for another three years. Subsequently, an entity needs to re-apply for the HNTE status in order to be able to enjoy the preferential tax rate of 15%.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Zhongjinke Shenzhen has obtained the HNTE certificate, the latest HNTE certificate obtained on December 26, 2024 and is valid for three years. Thus, the Company is entitled to a preferential tax rate of 15% until December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entities fail to maintain the HNTE qualification under the New EIT Law, they will no longer qualify for the preferential tax rate of 15%, which could have a material and adverse effect on the Company’s results of operations and financial position provided that they do not qualify for any other preferential tax treatment. Historically, the abovementioned PRC subsidiaries have successfully obtained or renewed the HNTE certificates when the previous certificates had expired.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Announcement on Further Implementing the Income Tax Preferential Policies for Small and Micro Enterprises (Caishui [2023] No. 06) issued by the Ministry of Finance and the State Taxation Administration on March 14, 2022, for small and low-profit enterprises with an annual taxable income exceeding RMB</w:t>
      </w:r>
      <w:bookmarkStart w:id="607" w:name="xdx_905_ecustom--AnnualTaxableIncome_uRM"/>
      <w:bookmarkEnd w:id="607"/>
      <w:r>
        <w:rPr>
          <w:rFonts w:ascii="Times New Roman;Times;Serif" w:hAnsi="Times New Roman;Times;Serif"/>
          <w:b w:val="false"/>
          <w:i w:val="false"/>
          <w:caps w:val="false"/>
          <w:smallCaps w:val="false"/>
          <w:sz w:val="20"/>
        </w:rPr>
        <w:t>1,000,000 (equivalent to US$</w:t>
      </w:r>
      <w:bookmarkStart w:id="608" w:name="xdx_90D_ecustom--AnnualTaxableIncome_uUS"/>
      <w:bookmarkEnd w:id="608"/>
      <w:r>
        <w:rPr>
          <w:rFonts w:ascii="Times New Roman;Times;Serif" w:hAnsi="Times New Roman;Times;Serif"/>
          <w:b w:val="false"/>
          <w:i w:val="false"/>
          <w:caps w:val="false"/>
          <w:smallCaps w:val="false"/>
          <w:sz w:val="20"/>
        </w:rPr>
        <w:t>141,052) but not exceeding RMB</w:t>
      </w:r>
      <w:bookmarkStart w:id="609" w:name="xdx_908_ecustom--AnnualTaxableIncome_uRM"/>
      <w:bookmarkEnd w:id="609"/>
      <w:r>
        <w:rPr>
          <w:rFonts w:ascii="Times New Roman;Times;Serif" w:hAnsi="Times New Roman;Times;Serif"/>
          <w:b w:val="false"/>
          <w:i w:val="false"/>
          <w:caps w:val="false"/>
          <w:smallCaps w:val="false"/>
          <w:sz w:val="20"/>
        </w:rPr>
        <w:t>3,000,000 (equivalent to US$</w:t>
      </w:r>
      <w:bookmarkStart w:id="610" w:name="xdx_900_ecustom--AnnualTaxableIncome_uUS"/>
      <w:bookmarkEnd w:id="610"/>
      <w:r>
        <w:rPr>
          <w:rFonts w:ascii="Times New Roman;Times;Serif" w:hAnsi="Times New Roman;Times;Serif"/>
          <w:b w:val="false"/>
          <w:i w:val="false"/>
          <w:caps w:val="false"/>
          <w:smallCaps w:val="false"/>
          <w:sz w:val="20"/>
        </w:rPr>
        <w:t>414,605), a reduction of 25% will be included in the taxable income and the enterprise income tax will be paid at a 20% tax rate. The execution period of this announcement is from January 1, 2023 to December 31, 2024. On August 2, 2023, the Ministry of Finance and the State Taxation Administration announced Caishui [2023] No. 12 and extend the execution period of Caishui [2023] No. 06 from December 31, 2024 to December 31, 2027. Zhongjinke Nanjing is a small and low-profit enterprise with a taxable income of less than RMB</w:t>
      </w:r>
      <w:bookmarkStart w:id="611" w:name="xdx_902_ecustom--TaxableIncome_uRMB_c202"/>
      <w:bookmarkEnd w:id="611"/>
      <w:r>
        <w:rPr>
          <w:rFonts w:ascii="Times New Roman;Times;Serif" w:hAnsi="Times New Roman;Times;Serif"/>
          <w:b w:val="false"/>
          <w:i w:val="false"/>
          <w:caps w:val="false"/>
          <w:smallCaps w:val="false"/>
          <w:sz w:val="20"/>
        </w:rPr>
        <w:t xml:space="preserve">1,000,000 for the six months ended June 30, 2025 and 2026, and enjoy a preferential income tax rate of </w:t>
      </w:r>
      <w:bookmarkStart w:id="612" w:name="xdx_909_ecustom--PreferentialIncomeTaxRa"/>
      <w:bookmarkEnd w:id="612"/>
      <w:r>
        <w:rPr>
          <w:rFonts w:ascii="Times New Roman;Times;Serif" w:hAnsi="Times New Roman;Times;Serif"/>
          <w:b w:val="false"/>
          <w:i w:val="false"/>
          <w:caps w:val="false"/>
          <w:smallCaps w:val="false"/>
          <w:sz w:val="20"/>
        </w:rPr>
        <w:t xml:space="preserve">5% and </w:t>
      </w:r>
      <w:bookmarkStart w:id="613" w:name="xdx_904_ecustom--PreferentialIncomeTaxRa"/>
      <w:bookmarkEnd w:id="613"/>
      <w:r>
        <w:rPr>
          <w:rFonts w:ascii="Times New Roman;Times;Serif" w:hAnsi="Times New Roman;Times;Serif"/>
          <w:b w:val="false"/>
          <w:i w:val="false"/>
          <w:caps w:val="false"/>
          <w:smallCaps w:val="false"/>
          <w:sz w:val="20"/>
        </w:rPr>
        <w:t>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CIT Law also provides that an enterprise established under the laws of a foreign country or region but whose “de facto management body” is located in the PRC be treated as a resident enterprise for the PRC tax purposes and consequently be subject to the PRC income tax at the rate of 25% for its global income. The Implementing Rules of the CIT Law define the location of the “de facto management body” as “the place where the exercising, in substance, of the overall management and control of the production and business operation, personnel, accounting, property, etc., of a non-PRC company is located.” Based on a review of surrounding facts and circumstances, the Company does not believe that it is likely that its operations outside the PRC should be considered a resident enterprise for PRC tax purposes.</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F-25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614" w:name="xdx_237_zuDJFeQXSj75"/>
      <w:bookmarkEnd w:id="614"/>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Withholding tax on undistributed dividends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CIT law also imposes a withholding income tax of 10% on dividends distributed by a foreign investment enterprise (“FIE”) to its immediate holding company outside of Mainland China, if such immediate holding company is considered as a non-resident enterprise without any establishment or place within Mainland China or if the received dividends have no connection with the establishment or place of such immediate holding company within Mainland China, unless such immediate holding company’s jurisdiction of incorporation has a tax treaty with the PRC that provides for a different withholding arrangement. The Cayman Islands, where the Company is incorporated, does not have such tax treaty with the PRC. According to the arrangement between Mainland China and Hong Kong S.A.R. on the Avoidance of Double Taxation and Prevention of Fiscal Evasion in August 2006, dividends paid by an FIE in Mainland China to its immediate holding company in Hong Kong S.A.R. will be subject to withholding tax at a rate of no more than 5% (if the foreign investor owns directly at least 25% of the shares of the FIE). The Company did not record any dividend withholding tax.</w:t>
      </w:r>
    </w:p>
    <w:p>
      <w:pPr>
        <w:pStyle w:val="TextBody"/>
        <w:bidi w:val="0"/>
        <w:jc w:val="both"/>
        <w:rPr>
          <w:caps w:val="false"/>
          <w:smallCaps w:val="false"/>
        </w:rPr>
      </w:pPr>
      <w:r>
        <w:rPr>
          <w:caps w:val="false"/>
          <w:smallCaps w:val="false"/>
        </w:rPr>
        <w:t> </w:t>
      </w:r>
    </w:p>
    <w:p>
      <w:pPr>
        <w:pStyle w:val="TextBody"/>
        <w:bidi w:val="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consists of the following:</w:t>
      </w:r>
    </w:p>
    <w:p>
      <w:pPr>
        <w:pStyle w:val="TextBody"/>
        <w:bidi w:val="0"/>
        <w:ind w:left="0" w:right="0" w:hanging="1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5" w:name="xdx_895_ecustom--ScheduleOfProvisionForI"/>
      <w:bookmarkStart w:id="616" w:name="xdx_895_ecustom--ScheduleOfProvisionForI"/>
      <w:bookmarkEnd w:id="616"/>
    </w:p>
    <w:tbl>
      <w:tblPr>
        <w:tblW w:w="7808" w:type="dxa"/>
        <w:jc w:val="left"/>
        <w:tblInd w:w="0" w:type="dxa"/>
        <w:tblLayout w:type="fixed"/>
        <w:tblCellMar>
          <w:top w:w="0" w:type="dxa"/>
          <w:left w:w="0" w:type="dxa"/>
          <w:bottom w:w="0" w:type="dxa"/>
          <w:right w:w="0" w:type="dxa"/>
        </w:tblCellMar>
      </w:tblPr>
      <w:tblGrid>
        <w:gridCol w:w="4235"/>
        <w:gridCol w:w="60"/>
        <w:gridCol w:w="91"/>
        <w:gridCol w:w="1491"/>
        <w:gridCol w:w="91"/>
        <w:gridCol w:w="91"/>
        <w:gridCol w:w="91"/>
        <w:gridCol w:w="1491"/>
        <w:gridCol w:w="167"/>
      </w:tblGrid>
      <w:tr>
        <w:trPr/>
        <w:tc>
          <w:tcPr>
            <w:tcW w:w="4235" w:type="dxa"/>
            <w:tcBorders/>
            <w:shd w:fill="FFFFFF" w:val="clear"/>
            <w:vAlign w:val="center"/>
          </w:tcPr>
          <w:p>
            <w:pPr>
              <w:pStyle w:val="TableContents"/>
              <w:bidi w:val="0"/>
              <w:spacing w:before="0" w:after="283"/>
              <w:ind w:left="0" w:right="0" w:hanging="200"/>
              <w:jc w:val="left"/>
              <w:rPr/>
            </w:pPr>
            <w:bookmarkStart w:id="617" w:name="xdx_8BF_zxMl8jCsIeo3"/>
            <w:bookmarkEnd w:id="617"/>
            <w:r>
              <w:rPr/>
              <w:t>Schedule of provision for income taxes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618" w:name="xdx_498_20250101__20250630_z3sgTJt4Fijj"/>
            <w:bookmarkEnd w:id="618"/>
          </w:p>
        </w:tc>
        <w:tc>
          <w:tcPr>
            <w:tcW w:w="1491"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619" w:name="xdx_492_20260101__20260630_z8016tZfRZ2j"/>
            <w:bookmarkEnd w:id="619"/>
          </w:p>
        </w:tc>
        <w:tc>
          <w:tcPr>
            <w:tcW w:w="1491"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200"/>
              <w:jc w:val="left"/>
              <w:rPr/>
            </w:pPr>
            <w:r>
              <w:rPr/>
              <w:t> </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3"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1" w:type="dxa"/>
            <w:tcBorders/>
            <w:vAlign w:val="center"/>
          </w:tcPr>
          <w:p>
            <w:pPr>
              <w:pStyle w:val="TableContents"/>
              <w:bidi w:val="0"/>
              <w:spacing w:before="0" w:after="283"/>
              <w:jc w:val="left"/>
              <w:rPr/>
            </w:pPr>
            <w:r>
              <w:rPr/>
              <w:t> </w:t>
            </w:r>
          </w:p>
        </w:tc>
        <w:tc>
          <w:tcPr>
            <w:tcW w:w="1749"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2026</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3" w:type="dxa"/>
            <w:gridSpan w:val="3"/>
            <w:tcBorders/>
            <w:vAlign w:val="center"/>
          </w:tcPr>
          <w:p>
            <w:pPr>
              <w:pStyle w:val="TableContents"/>
              <w:bidi w:val="0"/>
              <w:spacing w:before="0" w:after="283"/>
              <w:jc w:val="center"/>
              <w:rPr>
                <w:b/>
              </w:rPr>
            </w:pPr>
            <w:r>
              <w:rPr>
                <w:b/>
              </w:rPr>
              <w:t>$US</w:t>
            </w:r>
          </w:p>
        </w:tc>
        <w:tc>
          <w:tcPr>
            <w:tcW w:w="91" w:type="dxa"/>
            <w:tcBorders/>
            <w:vAlign w:val="center"/>
          </w:tcPr>
          <w:p>
            <w:pPr>
              <w:pStyle w:val="TableContents"/>
              <w:bidi w:val="0"/>
              <w:spacing w:before="0" w:after="283"/>
              <w:jc w:val="left"/>
              <w:rPr/>
            </w:pPr>
            <w:r>
              <w:rPr/>
              <w:t> </w:t>
            </w:r>
          </w:p>
        </w:tc>
        <w:tc>
          <w:tcPr>
            <w:tcW w:w="1749" w:type="dxa"/>
            <w:gridSpan w:val="3"/>
            <w:tcBorders/>
            <w:vAlign w:val="center"/>
          </w:tcPr>
          <w:p>
            <w:pPr>
              <w:pStyle w:val="TableContents"/>
              <w:bidi w:val="0"/>
              <w:spacing w:before="0" w:after="283"/>
              <w:ind w:left="0" w:right="0" w:hanging="200"/>
              <w:jc w:val="center"/>
              <w:rPr>
                <w:b/>
              </w:rPr>
            </w:pPr>
            <w:r>
              <w:rPr>
                <w:b/>
              </w:rPr>
              <w:t>$US</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3" w:type="dxa"/>
            <w:gridSpan w:val="7"/>
            <w:tcBorders/>
            <w:vAlign w:val="center"/>
          </w:tcPr>
          <w:p>
            <w:pPr>
              <w:pStyle w:val="TableContents"/>
              <w:bidi w:val="0"/>
              <w:spacing w:before="0" w:after="283"/>
              <w:ind w:left="0" w:right="0" w:hanging="200"/>
              <w:jc w:val="center"/>
              <w:rPr>
                <w:b/>
              </w:rPr>
            </w:pPr>
            <w:r>
              <w:rPr>
                <w:b/>
              </w:rPr>
              <w:t>(Unaudited)</w:t>
            </w:r>
            <w:bookmarkStart w:id="620" w:name="xdx_407_eus-gaap--CurrentIncomeTaxExpens"/>
            <w:bookmarkEnd w:id="620"/>
          </w:p>
        </w:tc>
      </w:tr>
      <w:tr>
        <w:trPr/>
        <w:tc>
          <w:tcPr>
            <w:tcW w:w="4235" w:type="dxa"/>
            <w:tcBorders/>
            <w:shd w:fill="CCEEFF" w:val="clear"/>
            <w:vAlign w:val="center"/>
          </w:tcPr>
          <w:p>
            <w:pPr>
              <w:pStyle w:val="TableContents"/>
              <w:bidi w:val="0"/>
              <w:spacing w:before="0" w:after="283"/>
              <w:jc w:val="left"/>
              <w:rPr/>
            </w:pPr>
            <w:r>
              <w:rPr/>
              <w:t>Provisions for current income tax</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1,799,951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2,209,047</w:t>
            </w:r>
          </w:p>
        </w:tc>
        <w:tc>
          <w:tcPr>
            <w:tcW w:w="167" w:type="dxa"/>
            <w:tcBorders/>
            <w:shd w:fill="CCEEFF" w:val="clear"/>
            <w:vAlign w:val="center"/>
          </w:tcPr>
          <w:p>
            <w:pPr>
              <w:pStyle w:val="TableContents"/>
              <w:bidi w:val="0"/>
              <w:spacing w:before="0" w:after="283"/>
              <w:ind w:left="0" w:right="0" w:hanging="200"/>
              <w:jc w:val="left"/>
              <w:rPr/>
            </w:pPr>
            <w:r>
              <w:rPr/>
              <w:t> </w:t>
            </w:r>
            <w:bookmarkStart w:id="621" w:name="xdx_406_eus-gaap--DeferredIncomeTaxExpen"/>
            <w:bookmarkEnd w:id="621"/>
          </w:p>
        </w:tc>
      </w:tr>
      <w:tr>
        <w:trPr/>
        <w:tc>
          <w:tcPr>
            <w:tcW w:w="4235" w:type="dxa"/>
            <w:tcBorders/>
            <w:shd w:fill="FFFFFF" w:val="clear"/>
            <w:vAlign w:val="center"/>
          </w:tcPr>
          <w:p>
            <w:pPr>
              <w:pStyle w:val="TableContents"/>
              <w:bidi w:val="0"/>
              <w:spacing w:before="0" w:after="283"/>
              <w:jc w:val="left"/>
              <w:rPr/>
            </w:pPr>
            <w:r>
              <w:rPr/>
              <w:t>Provisions/(benefits) for deferred income tax</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131,411</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(419,145</w:t>
            </w:r>
          </w:p>
        </w:tc>
        <w:tc>
          <w:tcPr>
            <w:tcW w:w="167" w:type="dxa"/>
            <w:tcBorders/>
            <w:shd w:fill="FFFFFF" w:val="clear"/>
            <w:vAlign w:val="center"/>
          </w:tcPr>
          <w:p>
            <w:pPr>
              <w:pStyle w:val="TableContents"/>
              <w:bidi w:val="0"/>
              <w:spacing w:before="0" w:after="283"/>
              <w:ind w:left="0" w:right="0" w:hanging="200"/>
              <w:jc w:val="left"/>
              <w:rPr/>
            </w:pPr>
            <w:r>
              <w:rPr/>
              <w:t>)</w:t>
            </w:r>
            <w:bookmarkStart w:id="622" w:name="xdx_408_eus-gaap--IncomeTaxExpenseBenefi"/>
            <w:bookmarkEnd w:id="622"/>
          </w:p>
        </w:tc>
      </w:tr>
      <w:tr>
        <w:trPr/>
        <w:tc>
          <w:tcPr>
            <w:tcW w:w="4235" w:type="dxa"/>
            <w:tcBorders/>
            <w:shd w:fill="CCEEFF" w:val="clear"/>
            <w:vAlign w:val="center"/>
          </w:tcPr>
          <w:p>
            <w:pPr>
              <w:pStyle w:val="TableContents"/>
              <w:bidi w:val="0"/>
              <w:spacing w:before="0" w:after="283"/>
              <w:jc w:val="left"/>
              <w:rPr/>
            </w:pPr>
            <w:r>
              <w:rPr/>
              <w:t> </w:t>
            </w:r>
            <w:r>
              <w:rPr>
                <w:b/>
                <w:sz w:val="20"/>
              </w:rPr>
              <w:t>Total</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9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1,931,362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9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1,789,902</w:t>
            </w:r>
          </w:p>
        </w:tc>
        <w:tc>
          <w:tcPr>
            <w:tcW w:w="167"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23" w:name="xdx_8AD_zqz9a1AiQ3p3"/>
      <w:bookmarkEnd w:id="62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differences between the statutory income tax rate of the PRC and the Group’s effective income tax rate for the six months ended June 30, 2025 and 2026:</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24" w:name="xdx_898_ecustom--ScheduleOfIncomeTaxExpe"/>
      <w:bookmarkStart w:id="625" w:name="xdx_898_ecustom--ScheduleOfIncomeTaxExpe"/>
      <w:bookmarkEnd w:id="625"/>
    </w:p>
    <w:tbl>
      <w:tblPr>
        <w:tblW w:w="9878" w:type="dxa"/>
        <w:jc w:val="left"/>
        <w:tblInd w:w="0" w:type="dxa"/>
        <w:tblLayout w:type="fixed"/>
        <w:tblCellMar>
          <w:top w:w="0" w:type="dxa"/>
          <w:left w:w="0" w:type="dxa"/>
          <w:bottom w:w="0" w:type="dxa"/>
          <w:right w:w="0" w:type="dxa"/>
        </w:tblCellMar>
      </w:tblPr>
      <w:tblGrid>
        <w:gridCol w:w="5765"/>
        <w:gridCol w:w="60"/>
        <w:gridCol w:w="211"/>
        <w:gridCol w:w="3455"/>
        <w:gridCol w:w="387"/>
      </w:tblGrid>
      <w:tr>
        <w:trPr/>
        <w:tc>
          <w:tcPr>
            <w:tcW w:w="5765" w:type="dxa"/>
            <w:tcBorders/>
            <w:shd w:fill="FFFFFF" w:val="clear"/>
            <w:vAlign w:val="center"/>
          </w:tcPr>
          <w:p>
            <w:pPr>
              <w:pStyle w:val="TableContents"/>
              <w:bidi w:val="0"/>
              <w:spacing w:before="0" w:after="283"/>
              <w:ind w:left="0" w:right="0" w:hanging="200"/>
              <w:jc w:val="left"/>
              <w:rPr/>
            </w:pPr>
            <w:bookmarkStart w:id="626" w:name="xdx_8BC_zFK72WV9L3Gi"/>
            <w:bookmarkEnd w:id="626"/>
            <w:r>
              <w:rPr/>
              <w:t>Schedule of income tax expense</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bookmarkStart w:id="627" w:name="xdx_49B_20250101__20250630_zIWSYP0uS8rd"/>
            <w:bookmarkEnd w:id="627"/>
          </w:p>
        </w:tc>
        <w:tc>
          <w:tcPr>
            <w:tcW w:w="3455" w:type="dxa"/>
            <w:tcBorders/>
            <w:shd w:fill="FFFFFF" w:val="clear"/>
            <w:vAlign w:val="center"/>
          </w:tcPr>
          <w:p>
            <w:pPr>
              <w:pStyle w:val="TableContents"/>
              <w:bidi w:val="0"/>
              <w:spacing w:before="0" w:after="283"/>
              <w:jc w:val="right"/>
              <w:rPr/>
            </w:pPr>
            <w:r>
              <w:rPr/>
              <w:t> </w:t>
            </w:r>
          </w:p>
        </w:tc>
        <w:tc>
          <w:tcPr>
            <w:tcW w:w="387" w:type="dxa"/>
            <w:tcBorders/>
            <w:shd w:fill="FFFFFF" w:val="clear"/>
            <w:vAlign w:val="center"/>
          </w:tcPr>
          <w:p>
            <w:pPr>
              <w:pStyle w:val="TableContents"/>
              <w:bidi w:val="0"/>
              <w:spacing w:before="0" w:after="283"/>
              <w:ind w:left="0" w:right="0" w:hanging="200"/>
              <w:jc w:val="left"/>
              <w:rPr/>
            </w:pPr>
            <w:r>
              <w:rPr/>
              <w:t> </w:t>
            </w:r>
          </w:p>
        </w:tc>
      </w:tr>
      <w:tr>
        <w:trPr/>
        <w:tc>
          <w:tcPr>
            <w:tcW w:w="5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53"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 2025</w:t>
            </w:r>
          </w:p>
        </w:tc>
      </w:tr>
      <w:tr>
        <w:trPr/>
        <w:tc>
          <w:tcPr>
            <w:tcW w:w="5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53"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$US</w:t>
            </w:r>
          </w:p>
        </w:tc>
      </w:tr>
      <w:tr>
        <w:trPr/>
        <w:tc>
          <w:tcPr>
            <w:tcW w:w="5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53" w:type="dxa"/>
            <w:gridSpan w:val="3"/>
            <w:tcBorders/>
            <w:vAlign w:val="center"/>
          </w:tcPr>
          <w:p>
            <w:pPr>
              <w:pStyle w:val="TableContents"/>
              <w:bidi w:val="0"/>
              <w:spacing w:before="0" w:after="283"/>
              <w:ind w:left="0" w:right="0" w:hanging="200"/>
              <w:jc w:val="center"/>
              <w:rPr>
                <w:b/>
              </w:rPr>
            </w:pPr>
            <w:r>
              <w:rPr>
                <w:b/>
              </w:rPr>
              <w:t>(Unaudited)</w:t>
            </w:r>
            <w:bookmarkStart w:id="628" w:name="xdx_402_ecustom--IncomeBeforeIncomeTaxPr"/>
            <w:bookmarkEnd w:id="628"/>
          </w:p>
        </w:tc>
      </w:tr>
      <w:tr>
        <w:trPr/>
        <w:tc>
          <w:tcPr>
            <w:tcW w:w="5765" w:type="dxa"/>
            <w:tcBorders/>
            <w:shd w:fill="CCEEFF" w:val="clear"/>
            <w:vAlign w:val="center"/>
          </w:tcPr>
          <w:p>
            <w:pPr>
              <w:pStyle w:val="TableContents"/>
              <w:bidi w:val="0"/>
              <w:spacing w:before="0" w:after="283"/>
              <w:jc w:val="left"/>
              <w:rPr>
                <w:b/>
              </w:rPr>
            </w:pPr>
            <w:r>
              <w:rPr>
                <w:b/>
              </w:rPr>
              <w:t>Income before income tax provision</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455" w:type="dxa"/>
            <w:tcBorders/>
            <w:shd w:fill="CCEEFF" w:val="clear"/>
            <w:vAlign w:val="center"/>
          </w:tcPr>
          <w:p>
            <w:pPr>
              <w:pStyle w:val="TableContents"/>
              <w:bidi w:val="0"/>
              <w:spacing w:before="0" w:after="283"/>
              <w:jc w:val="right"/>
              <w:rPr/>
            </w:pPr>
            <w:r>
              <w:rPr/>
              <w:t>7,771,875</w:t>
            </w:r>
          </w:p>
        </w:tc>
        <w:tc>
          <w:tcPr>
            <w:tcW w:w="387" w:type="dxa"/>
            <w:tcBorders/>
            <w:shd w:fill="CCEEFF" w:val="clear"/>
            <w:vAlign w:val="center"/>
          </w:tcPr>
          <w:p>
            <w:pPr>
              <w:pStyle w:val="TableContents"/>
              <w:bidi w:val="0"/>
              <w:spacing w:before="0" w:after="283"/>
              <w:ind w:left="0" w:right="0" w:hanging="200"/>
              <w:jc w:val="left"/>
              <w:rPr/>
            </w:pPr>
            <w:r>
              <w:rPr/>
              <w:t> </w:t>
            </w:r>
            <w:bookmarkStart w:id="629" w:name="xdx_40B_ecustom--IncomeTaxReconciliation"/>
            <w:bookmarkEnd w:id="629"/>
          </w:p>
        </w:tc>
      </w:tr>
      <w:tr>
        <w:trPr/>
        <w:tc>
          <w:tcPr>
            <w:tcW w:w="5765" w:type="dxa"/>
            <w:tcBorders/>
            <w:shd w:fill="FFFFFF" w:val="clear"/>
            <w:vAlign w:val="center"/>
          </w:tcPr>
          <w:p>
            <w:pPr>
              <w:pStyle w:val="TableContents"/>
              <w:bidi w:val="0"/>
              <w:spacing w:before="0" w:after="283"/>
              <w:jc w:val="left"/>
              <w:rPr/>
            </w:pPr>
            <w:r>
              <w:rPr/>
              <w:t>Tax at the PRC EIT tax rates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55" w:type="dxa"/>
            <w:tcBorders/>
            <w:shd w:fill="FFFFFF" w:val="clear"/>
            <w:vAlign w:val="center"/>
          </w:tcPr>
          <w:p>
            <w:pPr>
              <w:pStyle w:val="TableContents"/>
              <w:bidi w:val="0"/>
              <w:spacing w:before="0" w:after="283"/>
              <w:jc w:val="right"/>
              <w:rPr/>
            </w:pPr>
            <w:r>
              <w:rPr/>
              <w:t>1,942,969</w:t>
            </w:r>
          </w:p>
        </w:tc>
        <w:tc>
          <w:tcPr>
            <w:tcW w:w="387" w:type="dxa"/>
            <w:tcBorders/>
            <w:shd w:fill="FFFFFF" w:val="clear"/>
            <w:vAlign w:val="center"/>
          </w:tcPr>
          <w:p>
            <w:pPr>
              <w:pStyle w:val="TableContents"/>
              <w:bidi w:val="0"/>
              <w:spacing w:before="0" w:after="283"/>
              <w:ind w:left="0" w:right="0" w:hanging="200"/>
              <w:jc w:val="left"/>
              <w:rPr/>
            </w:pPr>
            <w:r>
              <w:rPr/>
              <w:t> </w:t>
            </w:r>
            <w:bookmarkStart w:id="630" w:name="xdx_404_ecustom--IncomeTaxReconciliation"/>
            <w:bookmarkEnd w:id="630"/>
          </w:p>
        </w:tc>
      </w:tr>
      <w:tr>
        <w:trPr/>
        <w:tc>
          <w:tcPr>
            <w:tcW w:w="5765" w:type="dxa"/>
            <w:tcBorders/>
            <w:shd w:fill="CCEEFF" w:val="clear"/>
            <w:vAlign w:val="center"/>
          </w:tcPr>
          <w:p>
            <w:pPr>
              <w:pStyle w:val="TableContents"/>
              <w:bidi w:val="0"/>
              <w:spacing w:before="0" w:after="283"/>
              <w:jc w:val="left"/>
              <w:rPr/>
            </w:pPr>
            <w:r>
              <w:rPr/>
              <w:t>HNTE tax incentive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455" w:type="dxa"/>
            <w:tcBorders/>
            <w:shd w:fill="CCEEFF" w:val="clear"/>
            <w:vAlign w:val="center"/>
          </w:tcPr>
          <w:p>
            <w:pPr>
              <w:pStyle w:val="TableContents"/>
              <w:bidi w:val="0"/>
              <w:spacing w:before="0" w:after="283"/>
              <w:jc w:val="right"/>
              <w:rPr/>
            </w:pPr>
            <w:r>
              <w:rPr/>
              <w:t>(361,863</w:t>
            </w:r>
          </w:p>
        </w:tc>
        <w:tc>
          <w:tcPr>
            <w:tcW w:w="387" w:type="dxa"/>
            <w:tcBorders/>
            <w:shd w:fill="CCEEFF" w:val="clear"/>
            <w:vAlign w:val="center"/>
          </w:tcPr>
          <w:p>
            <w:pPr>
              <w:pStyle w:val="TableContents"/>
              <w:bidi w:val="0"/>
              <w:spacing w:before="0" w:after="283"/>
              <w:ind w:left="0" w:right="0" w:hanging="200"/>
              <w:jc w:val="left"/>
              <w:rPr/>
            </w:pPr>
            <w:r>
              <w:rPr/>
              <w:t>)</w:t>
            </w:r>
            <w:bookmarkStart w:id="631" w:name="xdx_400_eus-gaap--IncomeTaxReconciliatio"/>
            <w:bookmarkEnd w:id="631"/>
          </w:p>
        </w:tc>
      </w:tr>
      <w:tr>
        <w:trPr/>
        <w:tc>
          <w:tcPr>
            <w:tcW w:w="5765" w:type="dxa"/>
            <w:tcBorders/>
            <w:shd w:fill="FFFFFF" w:val="clear"/>
            <w:vAlign w:val="center"/>
          </w:tcPr>
          <w:p>
            <w:pPr>
              <w:pStyle w:val="TableContents"/>
              <w:bidi w:val="0"/>
              <w:spacing w:before="0" w:after="283"/>
              <w:jc w:val="left"/>
              <w:rPr/>
            </w:pPr>
            <w:r>
              <w:rPr/>
              <w:t>Tax effect of non-deductible expenses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55" w:type="dxa"/>
            <w:tcBorders/>
            <w:shd w:fill="FFFFFF" w:val="clear"/>
            <w:vAlign w:val="center"/>
          </w:tcPr>
          <w:p>
            <w:pPr>
              <w:pStyle w:val="TableContents"/>
              <w:bidi w:val="0"/>
              <w:spacing w:before="0" w:after="283"/>
              <w:jc w:val="right"/>
              <w:rPr/>
            </w:pPr>
            <w:r>
              <w:rPr/>
              <w:t>343,970</w:t>
            </w:r>
          </w:p>
        </w:tc>
        <w:tc>
          <w:tcPr>
            <w:tcW w:w="387" w:type="dxa"/>
            <w:tcBorders/>
            <w:shd w:fill="FFFFFF" w:val="clear"/>
            <w:vAlign w:val="center"/>
          </w:tcPr>
          <w:p>
            <w:pPr>
              <w:pStyle w:val="TableContents"/>
              <w:bidi w:val="0"/>
              <w:spacing w:before="0" w:after="283"/>
              <w:ind w:left="0" w:right="0" w:hanging="200"/>
              <w:jc w:val="left"/>
              <w:rPr/>
            </w:pPr>
            <w:r>
              <w:rPr/>
              <w:t> </w:t>
            </w:r>
            <w:bookmarkStart w:id="632" w:name="xdx_404_eus-gaap--IncomeTaxReconciliatio"/>
            <w:bookmarkEnd w:id="632"/>
          </w:p>
        </w:tc>
      </w:tr>
      <w:tr>
        <w:trPr/>
        <w:tc>
          <w:tcPr>
            <w:tcW w:w="5765" w:type="dxa"/>
            <w:tcBorders/>
            <w:shd w:fill="CCEEFF" w:val="clear"/>
            <w:vAlign w:val="center"/>
          </w:tcPr>
          <w:p>
            <w:pPr>
              <w:pStyle w:val="TableContents"/>
              <w:bidi w:val="0"/>
              <w:spacing w:before="0" w:after="283"/>
              <w:jc w:val="left"/>
              <w:rPr/>
            </w:pPr>
            <w:r>
              <w:rPr/>
              <w:t>Tax effect of Research and development expenses deduction</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455" w:type="dxa"/>
            <w:tcBorders/>
            <w:shd w:fill="CCEEFF" w:val="clear"/>
            <w:vAlign w:val="center"/>
          </w:tcPr>
          <w:p>
            <w:pPr>
              <w:pStyle w:val="TableContents"/>
              <w:bidi w:val="0"/>
              <w:spacing w:before="0" w:after="283"/>
              <w:jc w:val="right"/>
              <w:rPr/>
            </w:pPr>
            <w:r>
              <w:rPr/>
              <w:t>(31,828</w:t>
            </w:r>
          </w:p>
        </w:tc>
        <w:tc>
          <w:tcPr>
            <w:tcW w:w="387" w:type="dxa"/>
            <w:tcBorders/>
            <w:shd w:fill="CCEEFF" w:val="clear"/>
            <w:vAlign w:val="center"/>
          </w:tcPr>
          <w:p>
            <w:pPr>
              <w:pStyle w:val="TableContents"/>
              <w:bidi w:val="0"/>
              <w:spacing w:before="0" w:after="283"/>
              <w:ind w:left="0" w:right="0" w:hanging="200"/>
              <w:jc w:val="left"/>
              <w:rPr/>
            </w:pPr>
            <w:r>
              <w:rPr/>
              <w:t>)</w:t>
            </w:r>
            <w:bookmarkStart w:id="633" w:name="xdx_409_eus-gaap--InterestIncomeNontaxab"/>
            <w:bookmarkEnd w:id="633"/>
          </w:p>
        </w:tc>
      </w:tr>
      <w:tr>
        <w:trPr/>
        <w:tc>
          <w:tcPr>
            <w:tcW w:w="5765" w:type="dxa"/>
            <w:tcBorders/>
            <w:shd w:fill="FFFFFF" w:val="clear"/>
            <w:vAlign w:val="center"/>
          </w:tcPr>
          <w:p>
            <w:pPr>
              <w:pStyle w:val="TableContents"/>
              <w:bidi w:val="0"/>
              <w:spacing w:before="0" w:after="283"/>
              <w:jc w:val="left"/>
              <w:rPr/>
            </w:pPr>
            <w:r>
              <w:rPr/>
              <w:t>Non-taxable investment income</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55" w:type="dxa"/>
            <w:tcBorders/>
            <w:shd w:fill="FFFFFF" w:val="clear"/>
            <w:vAlign w:val="center"/>
          </w:tcPr>
          <w:p>
            <w:pPr>
              <w:pStyle w:val="TableContents"/>
              <w:bidi w:val="0"/>
              <w:spacing w:before="0" w:after="283"/>
              <w:jc w:val="right"/>
              <w:rPr/>
            </w:pPr>
            <w:r>
              <w:rPr/>
              <w:t>—</w:t>
            </w:r>
          </w:p>
        </w:tc>
        <w:tc>
          <w:tcPr>
            <w:tcW w:w="387" w:type="dxa"/>
            <w:tcBorders/>
            <w:shd w:fill="FFFFFF" w:val="clear"/>
            <w:vAlign w:val="center"/>
          </w:tcPr>
          <w:p>
            <w:pPr>
              <w:pStyle w:val="TableContents"/>
              <w:bidi w:val="0"/>
              <w:spacing w:before="0" w:after="283"/>
              <w:ind w:left="0" w:right="0" w:hanging="200"/>
              <w:jc w:val="left"/>
              <w:rPr/>
            </w:pPr>
            <w:r>
              <w:rPr/>
              <w:t> </w:t>
            </w:r>
            <w:bookmarkStart w:id="634" w:name="xdx_405_ecustom--WriteoffOfNetOperatingL"/>
            <w:bookmarkEnd w:id="634"/>
          </w:p>
        </w:tc>
      </w:tr>
      <w:tr>
        <w:trPr/>
        <w:tc>
          <w:tcPr>
            <w:tcW w:w="5765" w:type="dxa"/>
            <w:tcBorders/>
            <w:shd w:fill="CCEEFF" w:val="clear"/>
            <w:vAlign w:val="center"/>
          </w:tcPr>
          <w:p>
            <w:pPr>
              <w:pStyle w:val="TableContents"/>
              <w:bidi w:val="0"/>
              <w:spacing w:before="0" w:after="283"/>
              <w:jc w:val="left"/>
              <w:rPr/>
            </w:pPr>
            <w:r>
              <w:rPr/>
              <w:t>Write-off of net operating loss carry forwards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455"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ind w:left="0" w:right="0" w:hanging="200"/>
              <w:jc w:val="left"/>
              <w:rPr/>
            </w:pPr>
            <w:r>
              <w:rPr/>
              <w:t> </w:t>
            </w:r>
            <w:bookmarkStart w:id="635" w:name="xdx_401_eus-gaap--IncomeTaxReconciliatio"/>
            <w:bookmarkEnd w:id="635"/>
          </w:p>
        </w:tc>
      </w:tr>
      <w:tr>
        <w:trPr/>
        <w:tc>
          <w:tcPr>
            <w:tcW w:w="576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55" w:type="dxa"/>
            <w:tcBorders/>
            <w:shd w:fill="FFFFFF" w:val="clear"/>
            <w:vAlign w:val="center"/>
          </w:tcPr>
          <w:p>
            <w:pPr>
              <w:pStyle w:val="TableContents"/>
              <w:bidi w:val="0"/>
              <w:spacing w:before="0" w:after="283"/>
              <w:jc w:val="right"/>
              <w:rPr/>
            </w:pPr>
            <w:r>
              <w:rPr/>
              <w:t>—</w:t>
            </w:r>
          </w:p>
        </w:tc>
        <w:tc>
          <w:tcPr>
            <w:tcW w:w="387" w:type="dxa"/>
            <w:tcBorders/>
            <w:shd w:fill="FFFFFF" w:val="clear"/>
            <w:vAlign w:val="center"/>
          </w:tcPr>
          <w:p>
            <w:pPr>
              <w:pStyle w:val="TableContents"/>
              <w:bidi w:val="0"/>
              <w:spacing w:before="0" w:after="283"/>
              <w:ind w:left="0" w:right="0" w:hanging="200"/>
              <w:jc w:val="left"/>
              <w:rPr/>
            </w:pPr>
            <w:r>
              <w:rPr/>
              <w:t> </w:t>
            </w:r>
            <w:bookmarkStart w:id="636" w:name="xdx_409_ecustom--IncomeTaxReconciliation"/>
            <w:bookmarkEnd w:id="636"/>
          </w:p>
        </w:tc>
      </w:tr>
      <w:tr>
        <w:trPr/>
        <w:tc>
          <w:tcPr>
            <w:tcW w:w="576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55" w:type="dxa"/>
            <w:tcBorders>
              <w:bottom w:val="single" w:sz="8" w:space="0" w:color="000000"/>
            </w:tcBorders>
            <w:shd w:fill="CCEEFF" w:val="clear"/>
            <w:tcMar>
              <w:bottom w:w="28" w:type="dxa"/>
            </w:tcMar>
            <w:vAlign w:val="center"/>
          </w:tcPr>
          <w:p>
            <w:pPr>
              <w:pStyle w:val="TableContents"/>
              <w:bidi w:val="0"/>
              <w:spacing w:before="0" w:after="283"/>
              <w:jc w:val="right"/>
              <w:rPr/>
            </w:pPr>
            <w:r>
              <w:rPr/>
              <w:t>38,114</w:t>
            </w:r>
          </w:p>
        </w:tc>
        <w:tc>
          <w:tcPr>
            <w:tcW w:w="387" w:type="dxa"/>
            <w:tcBorders/>
            <w:shd w:fill="CCEEFF" w:val="clear"/>
            <w:vAlign w:val="center"/>
          </w:tcPr>
          <w:p>
            <w:pPr>
              <w:pStyle w:val="TableContents"/>
              <w:bidi w:val="0"/>
              <w:spacing w:before="0" w:after="283"/>
              <w:ind w:left="0" w:right="0" w:hanging="200"/>
              <w:jc w:val="left"/>
              <w:rPr/>
            </w:pPr>
            <w:r>
              <w:rPr/>
              <w:t> </w:t>
            </w:r>
            <w:bookmarkStart w:id="637" w:name="xdx_408_eus-gaap--IncomeTaxExpenseBenefi"/>
            <w:bookmarkEnd w:id="637"/>
          </w:p>
        </w:tc>
      </w:tr>
      <w:tr>
        <w:trPr/>
        <w:tc>
          <w:tcPr>
            <w:tcW w:w="5765" w:type="dxa"/>
            <w:tcBorders/>
            <w:shd w:fill="FFFFFF" w:val="clear"/>
            <w:vAlign w:val="center"/>
          </w:tcPr>
          <w:p>
            <w:pPr>
              <w:pStyle w:val="TableContents"/>
              <w:bidi w:val="0"/>
              <w:spacing w:before="0" w:after="283"/>
              <w:jc w:val="left"/>
              <w:rPr>
                <w:b/>
              </w:rPr>
            </w:pPr>
            <w:r>
              <w:rPr>
                <w:b/>
              </w:rPr>
              <w:t>Income tax expense</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4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1,931,362</w:t>
            </w:r>
          </w:p>
        </w:tc>
        <w:tc>
          <w:tcPr>
            <w:tcW w:w="387"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38" w:name="xdx_8AA_zErjG9kXlUii"/>
      <w:bookmarkEnd w:id="63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F-26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639" w:name="xdx_239_zMQqEzRfLVpa"/>
      <w:bookmarkEnd w:id="639"/>
      <w:r>
        <w:rPr>
          <w:caps w:val="false"/>
          <w:smallCaps w:val="false"/>
        </w:rPr>
        <w:t> </w:t>
      </w:r>
    </w:p>
    <w:p>
      <w:pPr>
        <w:pStyle w:val="TextBody"/>
        <w:bidi w:val="0"/>
        <w:jc w:val="both"/>
        <w:rPr>
          <w:caps w:val="false"/>
          <w:smallCaps w:val="false"/>
        </w:rPr>
      </w:pPr>
      <w:r>
        <w:rPr>
          <w:rFonts w:ascii="Times New Roman;Times;Serif" w:hAnsi="Times New Roman;Times;Serif"/>
          <w:b w:val="false"/>
          <w:i w:val="false"/>
          <w:caps w:val="false"/>
          <w:smallCaps w:val="false"/>
          <w:sz w:val="20"/>
        </w:rPr>
        <w:t>In accordance with the updated requirements of ASU No. 2023-09 for the six months ended June 30, 2026, a reconciliation between the statutory rate and the Company’s effective income tax rate is as follows</w:t>
      </w:r>
      <w:r>
        <w:rPr>
          <w:rFonts w:eastAsia="DengXian"/>
          <w:b w:val="false"/>
          <w:i w:val="false"/>
          <w:caps w:val="false"/>
          <w:smallCaps w:val="false"/>
          <w:sz w:val="20"/>
        </w:rPr>
        <w:t>：</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40" w:name="xdx_898_eus-gaap--ScheduleOfEffectiveInc"/>
      <w:bookmarkStart w:id="641" w:name="xdx_898_eus-gaap--ScheduleOfEffectiveInc"/>
      <w:bookmarkEnd w:id="641"/>
    </w:p>
    <w:tbl>
      <w:tblPr>
        <w:tblW w:w="10205" w:type="dxa"/>
        <w:jc w:val="left"/>
        <w:tblInd w:w="0" w:type="dxa"/>
        <w:tblLayout w:type="fixed"/>
        <w:tblCellMar>
          <w:top w:w="0" w:type="dxa"/>
          <w:left w:w="0" w:type="dxa"/>
          <w:bottom w:w="0" w:type="dxa"/>
          <w:right w:w="0" w:type="dxa"/>
        </w:tblCellMar>
      </w:tblPr>
      <w:tblGrid>
        <w:gridCol w:w="6395"/>
        <w:gridCol w:w="60"/>
        <w:gridCol w:w="105"/>
        <w:gridCol w:w="1736"/>
        <w:gridCol w:w="167"/>
        <w:gridCol w:w="105"/>
        <w:gridCol w:w="105"/>
        <w:gridCol w:w="992"/>
        <w:gridCol w:w="540"/>
      </w:tblGrid>
      <w:tr>
        <w:trPr/>
        <w:tc>
          <w:tcPr>
            <w:tcW w:w="6395" w:type="dxa"/>
            <w:tcBorders/>
            <w:shd w:fill="FFFFFF" w:val="clear"/>
            <w:vAlign w:val="center"/>
          </w:tcPr>
          <w:p>
            <w:pPr>
              <w:pStyle w:val="TableContents"/>
              <w:bidi w:val="0"/>
              <w:spacing w:before="0" w:after="283"/>
              <w:ind w:left="0" w:right="0" w:hanging="200"/>
              <w:jc w:val="left"/>
              <w:rPr/>
            </w:pPr>
            <w:bookmarkStart w:id="642" w:name="xdx_8B3_zrNz8xZhXZHb"/>
            <w:bookmarkEnd w:id="642"/>
            <w:r>
              <w:rPr/>
              <w:t>Schedule of Effective income tax rate</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3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540" w:type="dxa"/>
            <w:tcBorders/>
            <w:shd w:fill="FFFFFF" w:val="clear"/>
            <w:vAlign w:val="center"/>
          </w:tcPr>
          <w:p>
            <w:pPr>
              <w:pStyle w:val="TableContents"/>
              <w:bidi w:val="0"/>
              <w:spacing w:before="0" w:after="283"/>
              <w:ind w:left="0" w:right="0" w:hanging="200"/>
              <w:jc w:val="left"/>
              <w:rPr/>
            </w:pPr>
            <w:r>
              <w:rPr/>
              <w:t> </w:t>
            </w:r>
          </w:p>
        </w:tc>
      </w:tr>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0"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 2026</w:t>
            </w:r>
          </w:p>
        </w:tc>
      </w:tr>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05" w:type="dxa"/>
            <w:tcBorders/>
            <w:vAlign w:val="center"/>
          </w:tcPr>
          <w:p>
            <w:pPr>
              <w:pStyle w:val="TableContents"/>
              <w:bidi w:val="0"/>
              <w:spacing w:before="0" w:after="283"/>
              <w:jc w:val="left"/>
              <w:rPr/>
            </w:pPr>
            <w:r>
              <w:rPr/>
              <w:t> </w:t>
            </w:r>
          </w:p>
        </w:tc>
        <w:tc>
          <w:tcPr>
            <w:tcW w:w="1637"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percent</w:t>
            </w:r>
          </w:p>
        </w:tc>
      </w:tr>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8" w:type="dxa"/>
            <w:gridSpan w:val="3"/>
            <w:tcBorders/>
            <w:vAlign w:val="center"/>
          </w:tcPr>
          <w:p>
            <w:pPr>
              <w:pStyle w:val="TableContents"/>
              <w:bidi w:val="0"/>
              <w:spacing w:before="0" w:after="283"/>
              <w:jc w:val="center"/>
              <w:rPr>
                <w:b/>
              </w:rPr>
            </w:pPr>
            <w:r>
              <w:rPr>
                <w:b/>
              </w:rPr>
              <w:t>$US</w:t>
            </w:r>
          </w:p>
        </w:tc>
        <w:tc>
          <w:tcPr>
            <w:tcW w:w="105" w:type="dxa"/>
            <w:tcBorders/>
            <w:vAlign w:val="center"/>
          </w:tcPr>
          <w:p>
            <w:pPr>
              <w:pStyle w:val="TableContents"/>
              <w:bidi w:val="0"/>
              <w:spacing w:before="0" w:after="283"/>
              <w:jc w:val="left"/>
              <w:rPr/>
            </w:pPr>
            <w:r>
              <w:rPr/>
              <w:t> </w:t>
            </w:r>
          </w:p>
        </w:tc>
        <w:tc>
          <w:tcPr>
            <w:tcW w:w="1637" w:type="dxa"/>
            <w:gridSpan w:val="3"/>
            <w:tcBorders/>
            <w:vAlign w:val="center"/>
          </w:tcPr>
          <w:p>
            <w:pPr>
              <w:pStyle w:val="TableContents"/>
              <w:bidi w:val="0"/>
              <w:spacing w:before="0" w:after="283"/>
              <w:ind w:left="0" w:right="0" w:hanging="200"/>
              <w:jc w:val="center"/>
              <w:rPr>
                <w:b/>
              </w:rPr>
            </w:pPr>
            <w:r>
              <w:rPr>
                <w:b/>
              </w:rPr>
              <w:t>%</w:t>
            </w:r>
          </w:p>
        </w:tc>
      </w:tr>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0" w:type="dxa"/>
            <w:gridSpan w:val="7"/>
            <w:tcBorders/>
            <w:vAlign w:val="center"/>
          </w:tcPr>
          <w:p>
            <w:pPr>
              <w:pStyle w:val="TableContents"/>
              <w:bidi w:val="0"/>
              <w:spacing w:before="0" w:after="283"/>
              <w:ind w:left="0" w:right="0" w:hanging="200"/>
              <w:jc w:val="center"/>
              <w:rPr>
                <w:b/>
              </w:rPr>
            </w:pPr>
            <w:r>
              <w:rPr>
                <w:b/>
              </w:rPr>
              <w:t>(Unaudited)</w:t>
            </w:r>
          </w:p>
        </w:tc>
      </w:tr>
      <w:tr>
        <w:trPr/>
        <w:tc>
          <w:tcPr>
            <w:tcW w:w="6395" w:type="dxa"/>
            <w:tcBorders/>
            <w:shd w:fill="CCEEFF" w:val="clear"/>
            <w:vAlign w:val="center"/>
          </w:tcPr>
          <w:p>
            <w:pPr>
              <w:pStyle w:val="TableContents"/>
              <w:bidi w:val="0"/>
              <w:spacing w:before="0" w:after="283"/>
              <w:jc w:val="left"/>
              <w:rPr>
                <w:b/>
              </w:rPr>
            </w:pPr>
            <w:r>
              <w:rPr>
                <w:b/>
              </w:rPr>
              <w:t>PRC statutory income tax rate</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bookmarkStart w:id="643" w:name="xdx_98F_ecustom--EffectiveIncomeTaxRateR"/>
            <w:bookmarkEnd w:id="643"/>
          </w:p>
        </w:tc>
        <w:tc>
          <w:tcPr>
            <w:tcW w:w="1736" w:type="dxa"/>
            <w:tcBorders/>
            <w:shd w:fill="CCEEFF" w:val="clear"/>
            <w:vAlign w:val="center"/>
          </w:tcPr>
          <w:p>
            <w:pPr>
              <w:pStyle w:val="TableContents"/>
              <w:bidi w:val="0"/>
              <w:spacing w:before="0" w:after="283"/>
              <w:jc w:val="right"/>
              <w:rPr/>
            </w:pPr>
            <w:r>
              <w:rPr/>
              <w:t>1,757,576</w:t>
            </w:r>
          </w:p>
        </w:tc>
        <w:tc>
          <w:tcPr>
            <w:tcW w:w="16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bookmarkStart w:id="644" w:name="xdx_907_ecustom--EffectiveIncomeTaxRateR"/>
            <w:bookmarkEnd w:id="644"/>
            <w:r>
              <w:rPr/>
              <w:t>25.00</w:t>
            </w:r>
          </w:p>
        </w:tc>
        <w:tc>
          <w:tcPr>
            <w:tcW w:w="540" w:type="dxa"/>
            <w:tcBorders/>
            <w:shd w:fill="CCEEFF" w:val="clear"/>
            <w:vAlign w:val="center"/>
          </w:tcPr>
          <w:p>
            <w:pPr>
              <w:pStyle w:val="TableContents"/>
              <w:bidi w:val="0"/>
              <w:spacing w:before="0" w:after="283"/>
              <w:ind w:left="0" w:right="0" w:hanging="200"/>
              <w:jc w:val="left"/>
              <w:rPr/>
            </w:pPr>
            <w:r>
              <w:rPr/>
              <w:t>%</w:t>
            </w:r>
          </w:p>
        </w:tc>
      </w:tr>
      <w:tr>
        <w:trPr/>
        <w:tc>
          <w:tcPr>
            <w:tcW w:w="6395" w:type="dxa"/>
            <w:tcBorders/>
            <w:shd w:fill="FFFFFF" w:val="clear"/>
            <w:vAlign w:val="center"/>
          </w:tcPr>
          <w:p>
            <w:pPr>
              <w:pStyle w:val="TableContents"/>
              <w:bidi w:val="0"/>
              <w:spacing w:before="0" w:after="283"/>
              <w:jc w:val="left"/>
              <w:rPr/>
            </w:pPr>
            <w:r>
              <w:rPr/>
              <w:t>Effect of HNTE tax incentive</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bookmarkStart w:id="645" w:name="xdx_984_ecustom--EffectiveIncomeTaxRateR"/>
            <w:bookmarkEnd w:id="645"/>
          </w:p>
        </w:tc>
        <w:tc>
          <w:tcPr>
            <w:tcW w:w="1736" w:type="dxa"/>
            <w:tcBorders/>
            <w:shd w:fill="FFFFFF" w:val="clear"/>
            <w:vAlign w:val="center"/>
          </w:tcPr>
          <w:p>
            <w:pPr>
              <w:pStyle w:val="TableContents"/>
              <w:bidi w:val="0"/>
              <w:spacing w:before="0" w:after="283"/>
              <w:jc w:val="right"/>
              <w:rPr/>
            </w:pPr>
            <w:r>
              <w:rPr/>
              <w:t>(671,143</w:t>
            </w:r>
          </w:p>
        </w:tc>
        <w:tc>
          <w:tcPr>
            <w:tcW w:w="167" w:type="dxa"/>
            <w:tcBorders/>
            <w:shd w:fill="FFFFFF" w:val="clear"/>
            <w:vAlign w:val="center"/>
          </w:tcPr>
          <w:p>
            <w:pPr>
              <w:pStyle w:val="TableContents"/>
              <w:bidi w:val="0"/>
              <w:spacing w:before="0" w:after="283"/>
              <w:jc w:val="lef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bookmarkStart w:id="646" w:name="xdx_90D_ecustom--EffectiveIncomeTaxRateR"/>
            <w:bookmarkEnd w:id="646"/>
            <w:r>
              <w:rPr/>
              <w:t>(9.55</w:t>
            </w:r>
          </w:p>
        </w:tc>
        <w:tc>
          <w:tcPr>
            <w:tcW w:w="540" w:type="dxa"/>
            <w:tcBorders/>
            <w:shd w:fill="FFFFFF" w:val="clear"/>
            <w:vAlign w:val="center"/>
          </w:tcPr>
          <w:p>
            <w:pPr>
              <w:pStyle w:val="TableContents"/>
              <w:bidi w:val="0"/>
              <w:spacing w:before="0" w:after="283"/>
              <w:ind w:left="0" w:right="0" w:hanging="200"/>
              <w:jc w:val="left"/>
              <w:rPr/>
            </w:pPr>
            <w:r>
              <w:rPr/>
              <w:t>)%</w:t>
            </w:r>
          </w:p>
        </w:tc>
      </w:tr>
      <w:tr>
        <w:trPr/>
        <w:tc>
          <w:tcPr>
            <w:tcW w:w="6395"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6"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540" w:type="dxa"/>
            <w:tcBorders/>
            <w:shd w:fill="CCEEFF" w:val="clear"/>
            <w:vAlign w:val="center"/>
          </w:tcPr>
          <w:p>
            <w:pPr>
              <w:pStyle w:val="TableContents"/>
              <w:bidi w:val="0"/>
              <w:spacing w:before="0" w:after="283"/>
              <w:ind w:left="0" w:right="0" w:hanging="200"/>
              <w:jc w:val="left"/>
              <w:rPr/>
            </w:pPr>
            <w:r>
              <w:rPr/>
              <w:t> </w:t>
            </w:r>
          </w:p>
        </w:tc>
      </w:tr>
      <w:tr>
        <w:trPr/>
        <w:tc>
          <w:tcPr>
            <w:tcW w:w="6395" w:type="dxa"/>
            <w:tcBorders/>
            <w:shd w:fill="FFFFFF" w:val="clear"/>
            <w:vAlign w:val="center"/>
          </w:tcPr>
          <w:p>
            <w:pPr>
              <w:pStyle w:val="TableContents"/>
              <w:bidi w:val="0"/>
              <w:spacing w:before="0" w:after="283"/>
              <w:jc w:val="left"/>
              <w:rPr/>
            </w:pPr>
            <w:r>
              <w:rPr/>
              <w:t> </w:t>
            </w:r>
            <w:r>
              <w:rPr/>
              <w:t>Hongkong</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3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540" w:type="dxa"/>
            <w:tcBorders/>
            <w:shd w:fill="FFFFFF" w:val="clear"/>
            <w:vAlign w:val="center"/>
          </w:tcPr>
          <w:p>
            <w:pPr>
              <w:pStyle w:val="TableContents"/>
              <w:bidi w:val="0"/>
              <w:spacing w:before="0" w:after="283"/>
              <w:ind w:left="0" w:right="0" w:hanging="200"/>
              <w:jc w:val="left"/>
              <w:rPr/>
            </w:pPr>
            <w:r>
              <w:rPr/>
              <w:t> </w:t>
            </w:r>
          </w:p>
        </w:tc>
      </w:tr>
      <w:tr>
        <w:trPr/>
        <w:tc>
          <w:tcPr>
            <w:tcW w:w="6395" w:type="dxa"/>
            <w:tcBorders/>
            <w:shd w:fill="CCEEFF" w:val="clear"/>
            <w:vAlign w:val="center"/>
          </w:tcPr>
          <w:p>
            <w:pPr>
              <w:pStyle w:val="TableContents"/>
              <w:bidi w:val="0"/>
              <w:spacing w:before="0" w:after="283"/>
              <w:jc w:val="left"/>
              <w:rPr/>
            </w:pPr>
            <w:r>
              <w:rPr/>
              <w:t> </w:t>
            </w:r>
            <w:r>
              <w:rPr/>
              <w:t>Statutory tax rate difference between Hongkong and Chinese mainland</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bookmarkStart w:id="647" w:name="xdx_98C_ecustom--EffectiveIncomeTaxRateR"/>
            <w:bookmarkEnd w:id="647"/>
          </w:p>
        </w:tc>
        <w:tc>
          <w:tcPr>
            <w:tcW w:w="1736" w:type="dxa"/>
            <w:tcBorders/>
            <w:shd w:fill="CCEEFF" w:val="clear"/>
            <w:vAlign w:val="center"/>
          </w:tcPr>
          <w:p>
            <w:pPr>
              <w:pStyle w:val="TableContents"/>
              <w:bidi w:val="0"/>
              <w:spacing w:before="0" w:after="283"/>
              <w:jc w:val="right"/>
              <w:rPr/>
            </w:pPr>
            <w:r>
              <w:rPr/>
              <w:t>(180,306</w:t>
            </w:r>
          </w:p>
        </w:tc>
        <w:tc>
          <w:tcPr>
            <w:tcW w:w="167"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bookmarkStart w:id="648" w:name="xdx_900_ecustom--EffectiveIncomeTaxRateR"/>
            <w:bookmarkEnd w:id="648"/>
            <w:r>
              <w:rPr/>
              <w:t>(2.56</w:t>
            </w:r>
          </w:p>
        </w:tc>
        <w:tc>
          <w:tcPr>
            <w:tcW w:w="540" w:type="dxa"/>
            <w:tcBorders/>
            <w:shd w:fill="CCEEFF" w:val="clear"/>
            <w:vAlign w:val="center"/>
          </w:tcPr>
          <w:p>
            <w:pPr>
              <w:pStyle w:val="TableContents"/>
              <w:bidi w:val="0"/>
              <w:spacing w:before="0" w:after="283"/>
              <w:ind w:left="0" w:right="0" w:hanging="200"/>
              <w:jc w:val="left"/>
              <w:rPr/>
            </w:pPr>
            <w:r>
              <w:rPr/>
              <w:t>)%</w:t>
            </w:r>
          </w:p>
        </w:tc>
      </w:tr>
      <w:tr>
        <w:trPr/>
        <w:tc>
          <w:tcPr>
            <w:tcW w:w="6395" w:type="dxa"/>
            <w:tcBorders/>
            <w:shd w:fill="FFFFFF" w:val="clear"/>
            <w:vAlign w:val="center"/>
          </w:tcPr>
          <w:p>
            <w:pPr>
              <w:pStyle w:val="TableContents"/>
              <w:bidi w:val="0"/>
              <w:spacing w:before="0" w:after="283"/>
              <w:jc w:val="left"/>
              <w:rPr/>
            </w:pPr>
            <w:r>
              <w:rPr/>
              <w:t> </w:t>
            </w:r>
            <w:r>
              <w:rPr/>
              <w:t>Vietnam</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3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540" w:type="dxa"/>
            <w:tcBorders/>
            <w:shd w:fill="FFFFFF" w:val="clear"/>
            <w:vAlign w:val="center"/>
          </w:tcPr>
          <w:p>
            <w:pPr>
              <w:pStyle w:val="TableContents"/>
              <w:bidi w:val="0"/>
              <w:spacing w:before="0" w:after="283"/>
              <w:ind w:left="0" w:right="0" w:hanging="200"/>
              <w:jc w:val="left"/>
              <w:rPr/>
            </w:pPr>
            <w:r>
              <w:rPr/>
              <w:t> </w:t>
            </w:r>
          </w:p>
        </w:tc>
      </w:tr>
      <w:tr>
        <w:trPr/>
        <w:tc>
          <w:tcPr>
            <w:tcW w:w="6395" w:type="dxa"/>
            <w:tcBorders/>
            <w:shd w:fill="CCEEFF" w:val="clear"/>
            <w:vAlign w:val="center"/>
          </w:tcPr>
          <w:p>
            <w:pPr>
              <w:pStyle w:val="TableContents"/>
              <w:bidi w:val="0"/>
              <w:spacing w:before="0" w:after="283"/>
              <w:jc w:val="left"/>
              <w:rPr/>
            </w:pPr>
            <w:r>
              <w:rPr/>
              <w:t> </w:t>
            </w:r>
            <w:r>
              <w:rPr/>
              <w:t>Statutory tax rate difference between Vietnam and Chinese mainland</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bookmarkStart w:id="649" w:name="xdx_986_ecustom--EffectiveIncomeTaxRateR"/>
            <w:bookmarkEnd w:id="649"/>
          </w:p>
        </w:tc>
        <w:tc>
          <w:tcPr>
            <w:tcW w:w="1736" w:type="dxa"/>
            <w:tcBorders/>
            <w:shd w:fill="CCEEFF" w:val="clear"/>
            <w:vAlign w:val="center"/>
          </w:tcPr>
          <w:p>
            <w:pPr>
              <w:pStyle w:val="TableContents"/>
              <w:bidi w:val="0"/>
              <w:spacing w:before="0" w:after="283"/>
              <w:jc w:val="right"/>
              <w:rPr/>
            </w:pPr>
            <w:r>
              <w:rPr/>
              <w:t>(8,828</w:t>
            </w:r>
          </w:p>
        </w:tc>
        <w:tc>
          <w:tcPr>
            <w:tcW w:w="167"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bookmarkStart w:id="650" w:name="xdx_906_ecustom--EffectiveIncomeTaxRateR"/>
            <w:bookmarkEnd w:id="650"/>
            <w:r>
              <w:rPr/>
              <w:t>(0.13</w:t>
            </w:r>
          </w:p>
        </w:tc>
        <w:tc>
          <w:tcPr>
            <w:tcW w:w="540" w:type="dxa"/>
            <w:tcBorders/>
            <w:shd w:fill="CCEEFF" w:val="clear"/>
            <w:vAlign w:val="center"/>
          </w:tcPr>
          <w:p>
            <w:pPr>
              <w:pStyle w:val="TableContents"/>
              <w:bidi w:val="0"/>
              <w:spacing w:before="0" w:after="283"/>
              <w:ind w:left="0" w:right="0" w:hanging="200"/>
              <w:jc w:val="left"/>
              <w:rPr/>
            </w:pPr>
            <w:r>
              <w:rPr/>
              <w:t>)%</w:t>
            </w:r>
          </w:p>
        </w:tc>
      </w:tr>
      <w:tr>
        <w:trPr/>
        <w:tc>
          <w:tcPr>
            <w:tcW w:w="6395" w:type="dxa"/>
            <w:tcBorders/>
            <w:shd w:fill="FFFFFF" w:val="clear"/>
            <w:vAlign w:val="center"/>
          </w:tcPr>
          <w:p>
            <w:pPr>
              <w:pStyle w:val="TableContents"/>
              <w:bidi w:val="0"/>
              <w:spacing w:before="0" w:after="283"/>
              <w:jc w:val="left"/>
              <w:rPr/>
            </w:pPr>
            <w:r>
              <w:rPr/>
              <w:t> </w:t>
            </w:r>
            <w:r>
              <w:rPr/>
              <w:t>Cayman Islands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3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540" w:type="dxa"/>
            <w:tcBorders/>
            <w:shd w:fill="FFFFFF" w:val="clear"/>
            <w:vAlign w:val="center"/>
          </w:tcPr>
          <w:p>
            <w:pPr>
              <w:pStyle w:val="TableContents"/>
              <w:bidi w:val="0"/>
              <w:spacing w:before="0" w:after="283"/>
              <w:ind w:left="0" w:right="0" w:hanging="200"/>
              <w:jc w:val="left"/>
              <w:rPr/>
            </w:pPr>
            <w:r>
              <w:rPr/>
              <w:t> </w:t>
            </w:r>
          </w:p>
        </w:tc>
      </w:tr>
      <w:tr>
        <w:trPr/>
        <w:tc>
          <w:tcPr>
            <w:tcW w:w="6395" w:type="dxa"/>
            <w:tcBorders/>
            <w:shd w:fill="CCEEFF" w:val="clear"/>
            <w:vAlign w:val="center"/>
          </w:tcPr>
          <w:p>
            <w:pPr>
              <w:pStyle w:val="TableContents"/>
              <w:bidi w:val="0"/>
              <w:spacing w:before="0" w:after="283"/>
              <w:jc w:val="left"/>
              <w:rPr/>
            </w:pPr>
            <w:r>
              <w:rPr/>
              <w:t> </w:t>
            </w:r>
            <w:r>
              <w:rPr/>
              <w:t>Statutory tax rate difference between Cayman Islands and Chinese mainland</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bookmarkStart w:id="651" w:name="xdx_986_ecustom--EffectiveIncomeTaxRateR"/>
            <w:bookmarkEnd w:id="651"/>
          </w:p>
        </w:tc>
        <w:tc>
          <w:tcPr>
            <w:tcW w:w="1736" w:type="dxa"/>
            <w:tcBorders/>
            <w:shd w:fill="CCEEFF" w:val="clear"/>
            <w:vAlign w:val="center"/>
          </w:tcPr>
          <w:p>
            <w:pPr>
              <w:pStyle w:val="TableContents"/>
              <w:bidi w:val="0"/>
              <w:spacing w:before="0" w:after="283"/>
              <w:jc w:val="right"/>
              <w:rPr/>
            </w:pPr>
            <w:r>
              <w:rPr/>
              <w:t>550,523</w:t>
            </w:r>
          </w:p>
        </w:tc>
        <w:tc>
          <w:tcPr>
            <w:tcW w:w="16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bookmarkStart w:id="652" w:name="xdx_901_ecustom--EffectiveIncomeTaxRateR"/>
            <w:bookmarkEnd w:id="652"/>
            <w:r>
              <w:rPr/>
              <w:t>7.83</w:t>
            </w:r>
          </w:p>
        </w:tc>
        <w:tc>
          <w:tcPr>
            <w:tcW w:w="540" w:type="dxa"/>
            <w:tcBorders/>
            <w:shd w:fill="CCEEFF" w:val="clear"/>
            <w:vAlign w:val="center"/>
          </w:tcPr>
          <w:p>
            <w:pPr>
              <w:pStyle w:val="TableContents"/>
              <w:bidi w:val="0"/>
              <w:spacing w:before="0" w:after="283"/>
              <w:ind w:left="0" w:right="0" w:hanging="200"/>
              <w:jc w:val="left"/>
              <w:rPr/>
            </w:pPr>
            <w:r>
              <w:rPr/>
              <w:t>%</w:t>
            </w:r>
          </w:p>
        </w:tc>
      </w:tr>
      <w:tr>
        <w:trPr/>
        <w:tc>
          <w:tcPr>
            <w:tcW w:w="6395" w:type="dxa"/>
            <w:tcBorders/>
            <w:shd w:fill="FFFFFF" w:val="clear"/>
            <w:vAlign w:val="center"/>
          </w:tcPr>
          <w:p>
            <w:pPr>
              <w:pStyle w:val="TableContents"/>
              <w:bidi w:val="0"/>
              <w:spacing w:before="0" w:after="283"/>
              <w:jc w:val="left"/>
              <w:rPr/>
            </w:pPr>
            <w:r>
              <w:rPr/>
              <w:t> </w:t>
            </w:r>
            <w:r>
              <w:rPr/>
              <w:t>Other foreign jurisdictions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bookmarkStart w:id="653" w:name="xdx_983_ecustom--EffectiveIncomeTaxRateR"/>
            <w:bookmarkEnd w:id="653"/>
          </w:p>
        </w:tc>
        <w:tc>
          <w:tcPr>
            <w:tcW w:w="1736" w:type="dxa"/>
            <w:tcBorders/>
            <w:shd w:fill="FFFFFF" w:val="clear"/>
            <w:vAlign w:val="center"/>
          </w:tcPr>
          <w:p>
            <w:pPr>
              <w:pStyle w:val="TableContents"/>
              <w:bidi w:val="0"/>
              <w:spacing w:before="0" w:after="283"/>
              <w:jc w:val="right"/>
              <w:rPr/>
            </w:pPr>
            <w:r>
              <w:rPr/>
              <w:t>(990</w:t>
            </w:r>
          </w:p>
        </w:tc>
        <w:tc>
          <w:tcPr>
            <w:tcW w:w="167" w:type="dxa"/>
            <w:tcBorders/>
            <w:shd w:fill="FFFFFF" w:val="clear"/>
            <w:vAlign w:val="center"/>
          </w:tcPr>
          <w:p>
            <w:pPr>
              <w:pStyle w:val="TableContents"/>
              <w:bidi w:val="0"/>
              <w:spacing w:before="0" w:after="283"/>
              <w:jc w:val="lef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bookmarkStart w:id="654" w:name="xdx_90A_ecustom--EffectiveIncomeTaxRateR"/>
            <w:bookmarkEnd w:id="654"/>
            <w:r>
              <w:rPr/>
              <w:t>(0.01</w:t>
            </w:r>
          </w:p>
        </w:tc>
        <w:tc>
          <w:tcPr>
            <w:tcW w:w="540" w:type="dxa"/>
            <w:tcBorders/>
            <w:shd w:fill="FFFFFF" w:val="clear"/>
            <w:vAlign w:val="center"/>
          </w:tcPr>
          <w:p>
            <w:pPr>
              <w:pStyle w:val="TableContents"/>
              <w:bidi w:val="0"/>
              <w:spacing w:before="0" w:after="283"/>
              <w:ind w:left="0" w:right="0" w:hanging="200"/>
              <w:jc w:val="left"/>
              <w:rPr/>
            </w:pPr>
            <w:r>
              <w:rPr/>
              <w:t>)%</w:t>
            </w:r>
          </w:p>
        </w:tc>
      </w:tr>
      <w:tr>
        <w:trPr/>
        <w:tc>
          <w:tcPr>
            <w:tcW w:w="6395" w:type="dxa"/>
            <w:tcBorders/>
            <w:shd w:fill="CCEEFF" w:val="clear"/>
            <w:vAlign w:val="center"/>
          </w:tcPr>
          <w:p>
            <w:pPr>
              <w:pStyle w:val="TableContents"/>
              <w:bidi w:val="0"/>
              <w:spacing w:before="0" w:after="283"/>
              <w:jc w:val="left"/>
              <w:rPr/>
            </w:pPr>
            <w:r>
              <w:rPr/>
              <w:t>Tax effect of non-deductible expenses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bookmarkStart w:id="655" w:name="xdx_98F_eus-gaap--IncomeTaxReconciliatio"/>
            <w:bookmarkEnd w:id="655"/>
          </w:p>
        </w:tc>
        <w:tc>
          <w:tcPr>
            <w:tcW w:w="1736" w:type="dxa"/>
            <w:tcBorders/>
            <w:shd w:fill="CCEEFF" w:val="clear"/>
            <w:vAlign w:val="center"/>
          </w:tcPr>
          <w:p>
            <w:pPr>
              <w:pStyle w:val="TableContents"/>
              <w:bidi w:val="0"/>
              <w:spacing w:before="0" w:after="283"/>
              <w:jc w:val="right"/>
              <w:rPr/>
            </w:pPr>
            <w:r>
              <w:rPr/>
              <w:t>429,497</w:t>
            </w:r>
          </w:p>
        </w:tc>
        <w:tc>
          <w:tcPr>
            <w:tcW w:w="16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bookmarkStart w:id="656" w:name="xdx_903_eus-gaap--EffectiveIncomeTaxRate"/>
            <w:bookmarkEnd w:id="656"/>
            <w:r>
              <w:rPr/>
              <w:t>6.11</w:t>
            </w:r>
          </w:p>
        </w:tc>
        <w:tc>
          <w:tcPr>
            <w:tcW w:w="540" w:type="dxa"/>
            <w:tcBorders/>
            <w:shd w:fill="CCEEFF" w:val="clear"/>
            <w:vAlign w:val="center"/>
          </w:tcPr>
          <w:p>
            <w:pPr>
              <w:pStyle w:val="TableContents"/>
              <w:bidi w:val="0"/>
              <w:spacing w:before="0" w:after="283"/>
              <w:ind w:left="0" w:right="0" w:hanging="200"/>
              <w:jc w:val="left"/>
              <w:rPr/>
            </w:pPr>
            <w:r>
              <w:rPr/>
              <w:t>%</w:t>
            </w:r>
          </w:p>
        </w:tc>
      </w:tr>
      <w:tr>
        <w:trPr/>
        <w:tc>
          <w:tcPr>
            <w:tcW w:w="6395" w:type="dxa"/>
            <w:tcBorders/>
            <w:shd w:fill="FFFFFF" w:val="clear"/>
            <w:vAlign w:val="center"/>
          </w:tcPr>
          <w:p>
            <w:pPr>
              <w:pStyle w:val="TableContents"/>
              <w:bidi w:val="0"/>
              <w:spacing w:before="0" w:after="283"/>
              <w:jc w:val="left"/>
              <w:rPr/>
            </w:pPr>
            <w:r>
              <w:rPr/>
              <w:t>Tax effect of R&amp;D expenses deduction</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bookmarkStart w:id="657" w:name="xdx_980_eus-gaap--IncomeTaxReconciliatio"/>
            <w:bookmarkEnd w:id="657"/>
          </w:p>
        </w:tc>
        <w:tc>
          <w:tcPr>
            <w:tcW w:w="1736" w:type="dxa"/>
            <w:tcBorders/>
            <w:shd w:fill="FFFFFF" w:val="clear"/>
            <w:vAlign w:val="center"/>
          </w:tcPr>
          <w:p>
            <w:pPr>
              <w:pStyle w:val="TableContents"/>
              <w:bidi w:val="0"/>
              <w:spacing w:before="0" w:after="283"/>
              <w:jc w:val="right"/>
              <w:rPr/>
            </w:pPr>
            <w:r>
              <w:rPr/>
              <w:t>(40,474</w:t>
            </w:r>
          </w:p>
        </w:tc>
        <w:tc>
          <w:tcPr>
            <w:tcW w:w="167" w:type="dxa"/>
            <w:tcBorders/>
            <w:shd w:fill="FFFFFF" w:val="clear"/>
            <w:vAlign w:val="center"/>
          </w:tcPr>
          <w:p>
            <w:pPr>
              <w:pStyle w:val="TableContents"/>
              <w:bidi w:val="0"/>
              <w:spacing w:before="0" w:after="283"/>
              <w:jc w:val="lef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bookmarkStart w:id="658" w:name="xdx_906_eus-gaap--EffectiveIncomeTaxRate"/>
            <w:bookmarkEnd w:id="658"/>
            <w:r>
              <w:rPr/>
              <w:t>(0.58</w:t>
            </w:r>
          </w:p>
        </w:tc>
        <w:tc>
          <w:tcPr>
            <w:tcW w:w="540" w:type="dxa"/>
            <w:tcBorders/>
            <w:shd w:fill="FFFFFF" w:val="clear"/>
            <w:vAlign w:val="center"/>
          </w:tcPr>
          <w:p>
            <w:pPr>
              <w:pStyle w:val="TableContents"/>
              <w:bidi w:val="0"/>
              <w:spacing w:before="0" w:after="283"/>
              <w:ind w:left="0" w:right="0" w:hanging="200"/>
              <w:jc w:val="left"/>
              <w:rPr/>
            </w:pPr>
            <w:r>
              <w:rPr/>
              <w:t>)%</w:t>
            </w:r>
          </w:p>
        </w:tc>
      </w:tr>
      <w:tr>
        <w:trPr/>
        <w:tc>
          <w:tcPr>
            <w:tcW w:w="639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59" w:name="xdx_98E_eus-gaap--IncomeTaxReconciliatio"/>
            <w:bookmarkEnd w:id="659"/>
          </w:p>
        </w:tc>
        <w:tc>
          <w:tcPr>
            <w:tcW w:w="1736" w:type="dxa"/>
            <w:tcBorders>
              <w:bottom w:val="single" w:sz="8" w:space="0" w:color="000000"/>
            </w:tcBorders>
            <w:shd w:fill="CCEEFF" w:val="clear"/>
            <w:tcMar>
              <w:bottom w:w="28" w:type="dxa"/>
            </w:tcMar>
            <w:vAlign w:val="center"/>
          </w:tcPr>
          <w:p>
            <w:pPr>
              <w:pStyle w:val="TableContents"/>
              <w:bidi w:val="0"/>
              <w:spacing w:before="0" w:after="283"/>
              <w:jc w:val="right"/>
              <w:rPr/>
            </w:pPr>
            <w:r>
              <w:rPr/>
              <w:t>(45,953</w:t>
            </w:r>
          </w:p>
        </w:tc>
        <w:tc>
          <w:tcPr>
            <w:tcW w:w="167"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60" w:name="xdx_907_eus-gaap--EffectiveIncomeTaxRate"/>
            <w:bookmarkEnd w:id="660"/>
            <w:r>
              <w:rPr/>
              <w:t>(0.65</w:t>
            </w:r>
          </w:p>
        </w:tc>
        <w:tc>
          <w:tcPr>
            <w:tcW w:w="540" w:type="dxa"/>
            <w:tcBorders/>
            <w:shd w:fill="CCEEFF" w:val="clear"/>
            <w:vAlign w:val="center"/>
          </w:tcPr>
          <w:p>
            <w:pPr>
              <w:pStyle w:val="TableContents"/>
              <w:bidi w:val="0"/>
              <w:spacing w:before="0" w:after="283"/>
              <w:ind w:left="0" w:right="0" w:hanging="200"/>
              <w:jc w:val="left"/>
              <w:rPr/>
            </w:pPr>
            <w:r>
              <w:rPr/>
              <w:t>)%</w:t>
            </w:r>
          </w:p>
        </w:tc>
      </w:tr>
      <w:tr>
        <w:trPr/>
        <w:tc>
          <w:tcPr>
            <w:tcW w:w="6395" w:type="dxa"/>
            <w:tcBorders/>
            <w:shd w:fill="FFFFFF" w:val="clear"/>
            <w:vAlign w:val="center"/>
          </w:tcPr>
          <w:p>
            <w:pPr>
              <w:pStyle w:val="TableContents"/>
              <w:bidi w:val="0"/>
              <w:spacing w:before="0" w:after="283"/>
              <w:jc w:val="left"/>
              <w:rPr>
                <w:b/>
              </w:rPr>
            </w:pPr>
            <w:r>
              <w:rPr>
                <w:b/>
              </w:rPr>
              <w:t>Effective income tax rate</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61" w:name="xdx_981_ecustom--EffectiveIncomeTaxRateR"/>
            <w:bookmarkEnd w:id="661"/>
          </w:p>
        </w:tc>
        <w:tc>
          <w:tcPr>
            <w:tcW w:w="17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1,789,902</w:t>
            </w:r>
          </w:p>
        </w:tc>
        <w:tc>
          <w:tcPr>
            <w:tcW w:w="167"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662" w:name="xdx_90D_ecustom--EffectiveIncomeTaxRateR"/>
            <w:bookmarkEnd w:id="662"/>
            <w:r>
              <w:rPr>
                <w:b/>
              </w:rPr>
              <w:t>25.46</w:t>
            </w:r>
          </w:p>
        </w:tc>
        <w:tc>
          <w:tcPr>
            <w:tcW w:w="540" w:type="dxa"/>
            <w:tcBorders/>
            <w:shd w:fill="FFFFFF" w:val="clear"/>
            <w:vAlign w:val="center"/>
          </w:tcPr>
          <w:p>
            <w:pPr>
              <w:pStyle w:val="TableContents"/>
              <w:bidi w:val="0"/>
              <w:spacing w:before="0" w:after="283"/>
              <w:jc w:val="left"/>
              <w:rPr>
                <w:b/>
              </w:rPr>
            </w:pPr>
            <w:r>
              <w:rPr>
                <w:b/>
              </w:rPr>
              <w:t>%</w:t>
            </w:r>
          </w:p>
        </w:tc>
      </w:tr>
    </w:tbl>
    <w:p>
      <w:pPr>
        <w:pStyle w:val="TextBody"/>
        <w:bidi w:val="0"/>
        <w:jc w:val="both"/>
        <w:rPr>
          <w:caps w:val="false"/>
          <w:smallCaps w:val="false"/>
        </w:rPr>
      </w:pPr>
      <w:bookmarkStart w:id="663" w:name="xdx_8AB_zUilL7b5zle6"/>
      <w:bookmarkEnd w:id="66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the significant components of the deferred tax assets and deferred tax liability are summarized below:</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64" w:name="xdx_89E_eus-gaap--ScheduleOfDeferredTaxA"/>
      <w:bookmarkStart w:id="665" w:name="xdx_89E_eus-gaap--ScheduleOfDeferredTaxA"/>
      <w:bookmarkEnd w:id="665"/>
    </w:p>
    <w:tbl>
      <w:tblPr>
        <w:tblW w:w="8802" w:type="dxa"/>
        <w:jc w:val="left"/>
        <w:tblInd w:w="0" w:type="dxa"/>
        <w:tblLayout w:type="fixed"/>
        <w:tblCellMar>
          <w:top w:w="0" w:type="dxa"/>
          <w:left w:w="0" w:type="dxa"/>
          <w:bottom w:w="0" w:type="dxa"/>
          <w:right w:w="0" w:type="dxa"/>
        </w:tblCellMar>
      </w:tblPr>
      <w:tblGrid>
        <w:gridCol w:w="5300"/>
        <w:gridCol w:w="60"/>
        <w:gridCol w:w="96"/>
        <w:gridCol w:w="1704"/>
        <w:gridCol w:w="153"/>
        <w:gridCol w:w="60"/>
        <w:gridCol w:w="70"/>
        <w:gridCol w:w="1231"/>
        <w:gridCol w:w="128"/>
      </w:tblGrid>
      <w:tr>
        <w:trPr/>
        <w:tc>
          <w:tcPr>
            <w:tcW w:w="5300" w:type="dxa"/>
            <w:tcBorders/>
            <w:shd w:fill="FFFFFF" w:val="clear"/>
            <w:vAlign w:val="center"/>
          </w:tcPr>
          <w:p>
            <w:pPr>
              <w:pStyle w:val="TableContents"/>
              <w:bidi w:val="0"/>
              <w:spacing w:before="0" w:after="283"/>
              <w:ind w:left="0" w:right="0" w:hanging="200"/>
              <w:jc w:val="left"/>
              <w:rPr/>
            </w:pPr>
            <w:bookmarkStart w:id="666" w:name="xdx_8B1_zYXTWYpUexL9"/>
            <w:bookmarkEnd w:id="666"/>
            <w:r>
              <w:rPr/>
              <w:t>Schedule of deferred tax assets and deferred tax liability</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bookmarkStart w:id="667" w:name="xdx_496_20251231_zMIDIpaSnv7a"/>
            <w:bookmarkEnd w:id="667"/>
          </w:p>
        </w:tc>
        <w:tc>
          <w:tcPr>
            <w:tcW w:w="170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668" w:name="xdx_491_20260630_zmzUS9wsJVsc"/>
            <w:bookmarkEnd w:id="668"/>
          </w:p>
        </w:tc>
        <w:tc>
          <w:tcPr>
            <w:tcW w:w="1231"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ind w:left="0" w:right="0" w:hanging="200"/>
              <w:jc w:val="left"/>
              <w:rPr/>
            </w:pPr>
            <w:r>
              <w:rPr/>
              <w:t> </w:t>
            </w:r>
          </w:p>
        </w:tc>
      </w:tr>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4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ind w:left="0" w:right="0" w:hanging="200"/>
              <w:jc w:val="center"/>
              <w:rPr>
                <w:b/>
              </w:rPr>
            </w:pPr>
            <w:r>
              <w:rPr>
                <w:b/>
              </w:rPr>
              <w:t>$US</w:t>
            </w:r>
          </w:p>
        </w:tc>
      </w:tr>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ind w:left="0" w:right="0" w:hanging="200"/>
              <w:jc w:val="center"/>
              <w:rPr>
                <w:b/>
              </w:rPr>
            </w:pPr>
            <w:r>
              <w:rPr>
                <w:b/>
              </w:rPr>
              <w:t>(Unaudited)</w:t>
            </w:r>
            <w:bookmarkStart w:id="669" w:name="xdx_40C_eus-gaap--DeferredTaxAssetsNetAb"/>
            <w:bookmarkEnd w:id="669"/>
          </w:p>
        </w:tc>
      </w:tr>
      <w:tr>
        <w:trPr/>
        <w:tc>
          <w:tcPr>
            <w:tcW w:w="530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ind w:left="0" w:right="0" w:hanging="200"/>
              <w:jc w:val="left"/>
              <w:rPr/>
            </w:pPr>
            <w:r>
              <w:rPr/>
              <w:t> </w:t>
            </w:r>
            <w:bookmarkStart w:id="670" w:name="xdx_401_eus-gaap--DeferredTaxAssetsOpera"/>
            <w:bookmarkEnd w:id="670"/>
          </w:p>
        </w:tc>
      </w:tr>
      <w:tr>
        <w:trPr/>
        <w:tc>
          <w:tcPr>
            <w:tcW w:w="5300" w:type="dxa"/>
            <w:tcBorders/>
            <w:shd w:fill="FFFFFF" w:val="clear"/>
            <w:vAlign w:val="center"/>
          </w:tcPr>
          <w:p>
            <w:pPr>
              <w:pStyle w:val="TableContents"/>
              <w:bidi w:val="0"/>
              <w:spacing w:before="0" w:after="283"/>
              <w:jc w:val="left"/>
              <w:rPr/>
            </w:pPr>
            <w:r>
              <w:rPr/>
              <w:t>Tax loss carry-forwards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118,975</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151,886</w:t>
            </w:r>
          </w:p>
        </w:tc>
        <w:tc>
          <w:tcPr>
            <w:tcW w:w="128" w:type="dxa"/>
            <w:tcBorders/>
            <w:shd w:fill="FFFFFF" w:val="clear"/>
            <w:vAlign w:val="center"/>
          </w:tcPr>
          <w:p>
            <w:pPr>
              <w:pStyle w:val="TableContents"/>
              <w:bidi w:val="0"/>
              <w:spacing w:before="0" w:after="283"/>
              <w:ind w:left="0" w:right="0" w:hanging="200"/>
              <w:jc w:val="left"/>
              <w:rPr/>
            </w:pPr>
            <w:r>
              <w:rPr/>
              <w:t> </w:t>
            </w:r>
            <w:bookmarkStart w:id="671" w:name="xdx_401_eus-gaap--DeferredTaxAssetsTaxDe"/>
            <w:bookmarkEnd w:id="671"/>
          </w:p>
        </w:tc>
      </w:tr>
      <w:tr>
        <w:trPr/>
        <w:tc>
          <w:tcPr>
            <w:tcW w:w="5300" w:type="dxa"/>
            <w:tcBorders/>
            <w:shd w:fill="CCEEFF" w:val="clear"/>
            <w:vAlign w:val="center"/>
          </w:tcPr>
          <w:p>
            <w:pPr>
              <w:pStyle w:val="TableContents"/>
              <w:bidi w:val="0"/>
              <w:spacing w:before="0" w:after="283"/>
              <w:jc w:val="left"/>
              <w:rPr/>
            </w:pPr>
            <w:r>
              <w:rPr/>
              <w:t>Provision for credit loss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20,556</w:t>
            </w:r>
          </w:p>
        </w:tc>
        <w:tc>
          <w:tcPr>
            <w:tcW w:w="1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21,186</w:t>
            </w:r>
          </w:p>
        </w:tc>
        <w:tc>
          <w:tcPr>
            <w:tcW w:w="128" w:type="dxa"/>
            <w:tcBorders/>
            <w:shd w:fill="CCEEFF" w:val="clear"/>
            <w:vAlign w:val="center"/>
          </w:tcPr>
          <w:p>
            <w:pPr>
              <w:pStyle w:val="TableContents"/>
              <w:bidi w:val="0"/>
              <w:spacing w:before="0" w:after="283"/>
              <w:ind w:left="0" w:right="0" w:hanging="200"/>
              <w:jc w:val="left"/>
              <w:rPr/>
            </w:pPr>
            <w:r>
              <w:rPr/>
              <w:t> </w:t>
            </w:r>
            <w:bookmarkStart w:id="672" w:name="xdx_406_eus-gaap--DeferredTaxAssetsInven"/>
            <w:bookmarkEnd w:id="672"/>
          </w:p>
        </w:tc>
      </w:tr>
      <w:tr>
        <w:trPr/>
        <w:tc>
          <w:tcPr>
            <w:tcW w:w="5300" w:type="dxa"/>
            <w:tcBorders/>
            <w:shd w:fill="FFFFFF" w:val="clear"/>
            <w:vAlign w:val="center"/>
          </w:tcPr>
          <w:p>
            <w:pPr>
              <w:pStyle w:val="TableContents"/>
              <w:bidi w:val="0"/>
              <w:spacing w:before="0" w:after="283"/>
              <w:jc w:val="left"/>
              <w:rPr/>
            </w:pPr>
            <w:r>
              <w:rPr/>
              <w:t>Inventory provision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299,901</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344,629</w:t>
            </w:r>
          </w:p>
        </w:tc>
        <w:tc>
          <w:tcPr>
            <w:tcW w:w="128" w:type="dxa"/>
            <w:tcBorders/>
            <w:shd w:fill="FFFFFF" w:val="clear"/>
            <w:vAlign w:val="center"/>
          </w:tcPr>
          <w:p>
            <w:pPr>
              <w:pStyle w:val="TableContents"/>
              <w:bidi w:val="0"/>
              <w:spacing w:before="0" w:after="283"/>
              <w:ind w:left="0" w:right="0" w:hanging="200"/>
              <w:jc w:val="left"/>
              <w:rPr/>
            </w:pPr>
            <w:r>
              <w:rPr/>
              <w:t> </w:t>
            </w:r>
            <w:bookmarkStart w:id="673" w:name="xdx_402_eus-gaap--DeferredTaxAssetsDefer"/>
            <w:bookmarkEnd w:id="673"/>
          </w:p>
        </w:tc>
      </w:tr>
      <w:tr>
        <w:trPr/>
        <w:tc>
          <w:tcPr>
            <w:tcW w:w="5300"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601,051</w:t>
            </w:r>
          </w:p>
        </w:tc>
        <w:tc>
          <w:tcPr>
            <w:tcW w:w="1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585,767</w:t>
            </w:r>
          </w:p>
        </w:tc>
        <w:tc>
          <w:tcPr>
            <w:tcW w:w="128" w:type="dxa"/>
            <w:tcBorders/>
            <w:shd w:fill="CCEEFF" w:val="clear"/>
            <w:vAlign w:val="center"/>
          </w:tcPr>
          <w:p>
            <w:pPr>
              <w:pStyle w:val="TableContents"/>
              <w:bidi w:val="0"/>
              <w:spacing w:before="0" w:after="283"/>
              <w:ind w:left="0" w:right="0" w:hanging="200"/>
              <w:jc w:val="left"/>
              <w:rPr/>
            </w:pPr>
            <w:r>
              <w:rPr/>
              <w:t> </w:t>
            </w:r>
            <w:bookmarkStart w:id="674" w:name="xdx_401_ecustom--NetDeferredTaxLiabiliti"/>
            <w:bookmarkEnd w:id="674"/>
          </w:p>
        </w:tc>
      </w:tr>
      <w:tr>
        <w:trPr/>
        <w:tc>
          <w:tcPr>
            <w:tcW w:w="5300" w:type="dxa"/>
            <w:tcBorders/>
            <w:shd w:fill="FFFFFF" w:val="clear"/>
            <w:vAlign w:val="center"/>
          </w:tcPr>
          <w:p>
            <w:pPr>
              <w:pStyle w:val="TableContents"/>
              <w:bidi w:val="0"/>
              <w:spacing w:before="0" w:after="283"/>
              <w:jc w:val="left"/>
              <w:rPr/>
            </w:pPr>
            <w:r>
              <w:rPr/>
              <w:t>Net deferred tax liabilities offset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(925,396</w:t>
            </w:r>
          </w:p>
        </w:tc>
        <w:tc>
          <w:tcPr>
            <w:tcW w:w="15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(937,850</w:t>
            </w:r>
          </w:p>
        </w:tc>
        <w:tc>
          <w:tcPr>
            <w:tcW w:w="128" w:type="dxa"/>
            <w:tcBorders/>
            <w:shd w:fill="FFFFFF" w:val="clear"/>
            <w:vAlign w:val="center"/>
          </w:tcPr>
          <w:p>
            <w:pPr>
              <w:pStyle w:val="TableContents"/>
              <w:bidi w:val="0"/>
              <w:spacing w:before="0" w:after="283"/>
              <w:ind w:left="0" w:right="0" w:hanging="200"/>
              <w:jc w:val="left"/>
              <w:rPr/>
            </w:pPr>
            <w:r>
              <w:rPr/>
              <w:t>)</w:t>
            </w:r>
            <w:bookmarkStart w:id="675" w:name="xdx_40E_eus-gaap--DeferredTaxAssetsValua"/>
            <w:bookmarkEnd w:id="675"/>
          </w:p>
        </w:tc>
      </w:tr>
      <w:tr>
        <w:trPr/>
        <w:tc>
          <w:tcPr>
            <w:tcW w:w="530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CCEEFF" w:val="clear"/>
            <w:tcMar>
              <w:bottom w:w="28" w:type="dxa"/>
            </w:tcMar>
            <w:vAlign w:val="center"/>
          </w:tcPr>
          <w:p>
            <w:pPr>
              <w:pStyle w:val="TableContents"/>
              <w:bidi w:val="0"/>
              <w:spacing w:before="0" w:after="283"/>
              <w:jc w:val="right"/>
              <w:rPr/>
            </w:pPr>
            <w:r>
              <w:rPr/>
              <w:t>(115,087</w:t>
            </w:r>
          </w:p>
        </w:tc>
        <w:tc>
          <w:tcPr>
            <w:tcW w:w="15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CCEEFF" w:val="clear"/>
            <w:tcMar>
              <w:bottom w:w="28" w:type="dxa"/>
            </w:tcMar>
            <w:vAlign w:val="center"/>
          </w:tcPr>
          <w:p>
            <w:pPr>
              <w:pStyle w:val="TableContents"/>
              <w:bidi w:val="0"/>
              <w:spacing w:before="0" w:after="283"/>
              <w:jc w:val="right"/>
              <w:rPr/>
            </w:pPr>
            <w:r>
              <w:rPr/>
              <w:t>(69,692</w:t>
            </w:r>
          </w:p>
        </w:tc>
        <w:tc>
          <w:tcPr>
            <w:tcW w:w="128" w:type="dxa"/>
            <w:tcBorders/>
            <w:shd w:fill="CCEEFF" w:val="clear"/>
            <w:vAlign w:val="center"/>
          </w:tcPr>
          <w:p>
            <w:pPr>
              <w:pStyle w:val="TableContents"/>
              <w:bidi w:val="0"/>
              <w:spacing w:before="0" w:after="283"/>
              <w:ind w:left="0" w:right="0" w:hanging="200"/>
              <w:jc w:val="left"/>
              <w:rPr/>
            </w:pPr>
            <w:r>
              <w:rPr/>
              <w:t>)</w:t>
            </w:r>
            <w:bookmarkStart w:id="676" w:name="xdx_40F_eus-gaap--DeferredTaxAssetsNet_i"/>
            <w:bookmarkEnd w:id="676"/>
          </w:p>
        </w:tc>
      </w:tr>
      <w:tr>
        <w:trPr/>
        <w:tc>
          <w:tcPr>
            <w:tcW w:w="5300" w:type="dxa"/>
            <w:tcBorders/>
            <w:shd w:fill="FFFFFF" w:val="clear"/>
            <w:vAlign w:val="center"/>
          </w:tcPr>
          <w:p>
            <w:pPr>
              <w:pStyle w:val="TableContents"/>
              <w:bidi w:val="0"/>
              <w:spacing w:before="0" w:after="283"/>
              <w:jc w:val="left"/>
              <w:rPr>
                <w:b/>
              </w:rPr>
            </w:pPr>
            <w:r>
              <w:rPr>
                <w:b/>
              </w:rPr>
              <w:t>Total deferred tax assets</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95,926</w:t>
            </w:r>
          </w:p>
        </w:tc>
        <w:tc>
          <w:tcPr>
            <w:tcW w:w="128" w:type="dxa"/>
            <w:tcBorders/>
            <w:shd w:fill="FFFFFF" w:val="clear"/>
            <w:vAlign w:val="center"/>
          </w:tcPr>
          <w:p>
            <w:pPr>
              <w:pStyle w:val="TableContents"/>
              <w:bidi w:val="0"/>
              <w:spacing w:before="0" w:after="283"/>
              <w:ind w:left="0" w:right="0" w:hanging="200"/>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ind w:left="0" w:right="0" w:hanging="200"/>
              <w:jc w:val="left"/>
              <w:rPr/>
            </w:pPr>
            <w:r>
              <w:rPr/>
              <w:t> </w:t>
            </w:r>
            <w:bookmarkStart w:id="677" w:name="xdx_403_eus-gaap--DeferredTaxLiabilities"/>
            <w:bookmarkEnd w:id="677"/>
          </w:p>
        </w:tc>
      </w:tr>
      <w:tr>
        <w:trPr/>
        <w:tc>
          <w:tcPr>
            <w:tcW w:w="530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ind w:left="0" w:right="0" w:hanging="200"/>
              <w:jc w:val="left"/>
              <w:rPr/>
            </w:pPr>
            <w:r>
              <w:rPr/>
              <w:t> </w:t>
            </w:r>
            <w:bookmarkStart w:id="678" w:name="xdx_400_ecustom--DeferredTaxLiabilitiesI"/>
            <w:bookmarkEnd w:id="678"/>
          </w:p>
        </w:tc>
      </w:tr>
      <w:tr>
        <w:trPr/>
        <w:tc>
          <w:tcPr>
            <w:tcW w:w="5300" w:type="dxa"/>
            <w:tcBorders/>
            <w:shd w:fill="CCEEFF" w:val="clear"/>
            <w:vAlign w:val="center"/>
          </w:tcPr>
          <w:p>
            <w:pPr>
              <w:pStyle w:val="TableContents"/>
              <w:bidi w:val="0"/>
              <w:spacing w:before="0" w:after="283"/>
              <w:jc w:val="left"/>
              <w:rPr/>
            </w:pPr>
            <w:r>
              <w:rPr/>
              <w:t>Investment Income</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(1,284,142</w:t>
            </w:r>
          </w:p>
        </w:tc>
        <w:tc>
          <w:tcPr>
            <w:tcW w:w="15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(1,018,560</w:t>
            </w:r>
          </w:p>
        </w:tc>
        <w:tc>
          <w:tcPr>
            <w:tcW w:w="128" w:type="dxa"/>
            <w:tcBorders/>
            <w:shd w:fill="CCEEFF" w:val="clear"/>
            <w:vAlign w:val="center"/>
          </w:tcPr>
          <w:p>
            <w:pPr>
              <w:pStyle w:val="TableContents"/>
              <w:bidi w:val="0"/>
              <w:spacing w:before="0" w:after="283"/>
              <w:ind w:left="0" w:right="0" w:hanging="200"/>
              <w:jc w:val="left"/>
              <w:rPr/>
            </w:pPr>
            <w:r>
              <w:rPr/>
              <w:t>)</w:t>
            </w:r>
            <w:bookmarkStart w:id="679" w:name="xdx_40B_ecustom--DeferredTaxLiabilitiesO"/>
            <w:bookmarkEnd w:id="679"/>
          </w:p>
        </w:tc>
      </w:tr>
      <w:tr>
        <w:trPr/>
        <w:tc>
          <w:tcPr>
            <w:tcW w:w="5300" w:type="dxa"/>
            <w:tcBorders/>
            <w:shd w:fill="FFFFFF" w:val="clear"/>
            <w:vAlign w:val="center"/>
          </w:tcPr>
          <w:p>
            <w:pPr>
              <w:pStyle w:val="TableContents"/>
              <w:bidi w:val="0"/>
              <w:spacing w:before="0" w:after="283"/>
              <w:jc w:val="left"/>
              <w:rPr/>
            </w:pPr>
            <w:r>
              <w:rPr/>
              <w:t>Operating right-of-use assets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(598,864</w:t>
            </w:r>
          </w:p>
        </w:tc>
        <w:tc>
          <w:tcPr>
            <w:tcW w:w="15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(578,261</w:t>
            </w:r>
          </w:p>
        </w:tc>
        <w:tc>
          <w:tcPr>
            <w:tcW w:w="128" w:type="dxa"/>
            <w:tcBorders/>
            <w:shd w:fill="FFFFFF" w:val="clear"/>
            <w:vAlign w:val="center"/>
          </w:tcPr>
          <w:p>
            <w:pPr>
              <w:pStyle w:val="TableContents"/>
              <w:bidi w:val="0"/>
              <w:spacing w:before="0" w:after="283"/>
              <w:ind w:left="0" w:right="0" w:hanging="200"/>
              <w:jc w:val="left"/>
              <w:rPr/>
            </w:pPr>
            <w:r>
              <w:rPr/>
              <w:t>)</w:t>
            </w:r>
            <w:bookmarkStart w:id="680" w:name="xdx_406_eus-gaap--DeferredIncomeTaxesAnd"/>
            <w:bookmarkEnd w:id="680"/>
          </w:p>
        </w:tc>
      </w:tr>
      <w:tr>
        <w:trPr/>
        <w:tc>
          <w:tcPr>
            <w:tcW w:w="5300" w:type="dxa"/>
            <w:tcBorders/>
            <w:shd w:fill="CCEEFF" w:val="clear"/>
            <w:vAlign w:val="center"/>
          </w:tcPr>
          <w:p>
            <w:pPr>
              <w:pStyle w:val="TableContents"/>
              <w:bidi w:val="0"/>
              <w:spacing w:before="0" w:after="283"/>
              <w:jc w:val="left"/>
              <w:rPr/>
            </w:pPr>
            <w:r>
              <w:rPr/>
              <w:t>Net deferred tax assets offset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CCEEFF" w:val="clear"/>
            <w:tcMar>
              <w:bottom w:w="28" w:type="dxa"/>
            </w:tcMar>
            <w:vAlign w:val="center"/>
          </w:tcPr>
          <w:p>
            <w:pPr>
              <w:pStyle w:val="TableContents"/>
              <w:bidi w:val="0"/>
              <w:spacing w:before="0" w:after="283"/>
              <w:jc w:val="right"/>
              <w:rPr/>
            </w:pPr>
            <w:r>
              <w:rPr/>
              <w:t>925,396</w:t>
            </w:r>
          </w:p>
        </w:tc>
        <w:tc>
          <w:tcPr>
            <w:tcW w:w="1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CCEEFF" w:val="clear"/>
            <w:tcMar>
              <w:bottom w:w="28" w:type="dxa"/>
            </w:tcMar>
            <w:vAlign w:val="center"/>
          </w:tcPr>
          <w:p>
            <w:pPr>
              <w:pStyle w:val="TableContents"/>
              <w:bidi w:val="0"/>
              <w:spacing w:before="0" w:after="283"/>
              <w:jc w:val="right"/>
              <w:rPr/>
            </w:pPr>
            <w:r>
              <w:rPr/>
              <w:t>937,850</w:t>
            </w:r>
          </w:p>
        </w:tc>
        <w:tc>
          <w:tcPr>
            <w:tcW w:w="128" w:type="dxa"/>
            <w:tcBorders/>
            <w:shd w:fill="CCEEFF" w:val="clear"/>
            <w:vAlign w:val="center"/>
          </w:tcPr>
          <w:p>
            <w:pPr>
              <w:pStyle w:val="TableContents"/>
              <w:bidi w:val="0"/>
              <w:spacing w:before="0" w:after="283"/>
              <w:ind w:left="0" w:right="0" w:hanging="200"/>
              <w:jc w:val="left"/>
              <w:rPr/>
            </w:pPr>
            <w:r>
              <w:rPr/>
              <w:t> </w:t>
            </w:r>
            <w:bookmarkStart w:id="681" w:name="xdx_402_eus-gaap--DeferredIncomeTaxLiabi"/>
            <w:bookmarkEnd w:id="681"/>
          </w:p>
        </w:tc>
      </w:tr>
      <w:tr>
        <w:trPr/>
        <w:tc>
          <w:tcPr>
            <w:tcW w:w="5300" w:type="dxa"/>
            <w:tcBorders/>
            <w:shd w:fill="FFFFFF" w:val="clear"/>
            <w:vAlign w:val="center"/>
          </w:tcPr>
          <w:p>
            <w:pPr>
              <w:pStyle w:val="TableContents"/>
              <w:bidi w:val="0"/>
              <w:spacing w:before="0" w:after="283"/>
              <w:jc w:val="left"/>
              <w:rPr>
                <w:b/>
              </w:rPr>
            </w:pPr>
            <w:r>
              <w:rPr>
                <w:b/>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0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(957,610</w:t>
            </w:r>
          </w:p>
        </w:tc>
        <w:tc>
          <w:tcPr>
            <w:tcW w:w="153"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(658,971</w:t>
            </w:r>
          </w:p>
        </w:tc>
        <w:tc>
          <w:tcPr>
            <w:tcW w:w="128" w:type="dxa"/>
            <w:tcBorders/>
            <w:shd w:fill="FFFFFF" w:val="clear"/>
            <w:vAlign w:val="center"/>
          </w:tcPr>
          <w:p>
            <w:pPr>
              <w:pStyle w:val="TableContents"/>
              <w:bidi w:val="0"/>
              <w:spacing w:before="0" w:after="283"/>
              <w:jc w:val="left"/>
              <w:rPr>
                <w:b/>
              </w:rPr>
            </w:pPr>
            <w:r>
              <w:rPr>
                <w:b/>
              </w:rPr>
              <w:t>)</w:t>
            </w:r>
          </w:p>
        </w:tc>
      </w:tr>
    </w:tbl>
    <w:p>
      <w:pPr>
        <w:pStyle w:val="TextBody"/>
        <w:bidi w:val="0"/>
        <w:jc w:val="both"/>
        <w:rPr>
          <w:caps w:val="false"/>
          <w:smallCaps w:val="false"/>
        </w:rPr>
      </w:pPr>
      <w:bookmarkStart w:id="682" w:name="xdx_8AF_zsEnaHLYsZw3"/>
      <w:bookmarkEnd w:id="68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F-27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683" w:name="xdx_237_z5HYRQSa0Oxk"/>
      <w:bookmarkEnd w:id="68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 allowance are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84" w:name="xdx_89D_eus-gaap--ScheduleOfComponentsOf"/>
      <w:bookmarkStart w:id="685" w:name="xdx_89D_eus-gaap--ScheduleOfComponentsOf"/>
      <w:bookmarkEnd w:id="685"/>
    </w:p>
    <w:tbl>
      <w:tblPr>
        <w:tblW w:w="7738" w:type="dxa"/>
        <w:jc w:val="left"/>
        <w:tblInd w:w="0" w:type="dxa"/>
        <w:tblLayout w:type="fixed"/>
        <w:tblCellMar>
          <w:top w:w="0" w:type="dxa"/>
          <w:left w:w="0" w:type="dxa"/>
          <w:bottom w:w="0" w:type="dxa"/>
          <w:right w:w="0" w:type="dxa"/>
        </w:tblCellMar>
      </w:tblPr>
      <w:tblGrid>
        <w:gridCol w:w="4235"/>
        <w:gridCol w:w="60"/>
        <w:gridCol w:w="122"/>
        <w:gridCol w:w="1636"/>
        <w:gridCol w:w="196"/>
        <w:gridCol w:w="60"/>
        <w:gridCol w:w="88"/>
        <w:gridCol w:w="1179"/>
        <w:gridCol w:w="162"/>
      </w:tblGrid>
      <w:tr>
        <w:trPr/>
        <w:tc>
          <w:tcPr>
            <w:tcW w:w="4235" w:type="dxa"/>
            <w:tcBorders/>
            <w:shd w:fill="FFFFFF" w:val="clear"/>
            <w:vAlign w:val="center"/>
          </w:tcPr>
          <w:p>
            <w:pPr>
              <w:pStyle w:val="TableContents"/>
              <w:bidi w:val="0"/>
              <w:spacing w:before="0" w:after="283"/>
              <w:ind w:left="0" w:right="0" w:hanging="200"/>
              <w:jc w:val="left"/>
              <w:rPr/>
            </w:pPr>
            <w:bookmarkStart w:id="686" w:name="xdx_8B8_zHGpT2wiRpk5"/>
            <w:bookmarkEnd w:id="686"/>
            <w:r>
              <w:rPr/>
              <w:t>Schedule of Changes in valuation allowance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200"/>
              <w:jc w:val="left"/>
              <w:rPr/>
            </w:pPr>
            <w:r>
              <w:rPr/>
              <w:t> </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43"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ind w:left="0" w:right="0" w:hanging="200"/>
              <w:jc w:val="center"/>
              <w:rPr>
                <w:b/>
              </w:rPr>
            </w:pPr>
            <w:r>
              <w:rPr>
                <w:b/>
              </w:rPr>
              <w:t>$US</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ind w:left="0" w:right="0" w:hanging="200"/>
              <w:jc w:val="center"/>
              <w:rPr>
                <w:b/>
              </w:rPr>
            </w:pPr>
            <w:r>
              <w:rPr>
                <w:b/>
              </w:rPr>
              <w:t>(Unaudited)</w:t>
            </w:r>
          </w:p>
        </w:tc>
      </w:tr>
      <w:tr>
        <w:trPr/>
        <w:tc>
          <w:tcPr>
            <w:tcW w:w="4235" w:type="dxa"/>
            <w:tcBorders/>
            <w:shd w:fill="CCEEFF" w:val="clear"/>
            <w:vAlign w:val="center"/>
          </w:tcPr>
          <w:p>
            <w:pPr>
              <w:pStyle w:val="TableContents"/>
              <w:bidi w:val="0"/>
              <w:spacing w:before="0" w:after="283"/>
              <w:jc w:val="left"/>
              <w:rPr>
                <w:b/>
              </w:rPr>
            </w:pPr>
            <w:r>
              <w:rPr>
                <w:b/>
              </w:rPr>
              <w:t>Balance at beginning of the period</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bookmarkStart w:id="687" w:name="xdx_982_eus-gaap--DeferredTaxAssetsValua"/>
            <w:bookmarkEnd w:id="687"/>
          </w:p>
        </w:tc>
        <w:tc>
          <w:tcPr>
            <w:tcW w:w="1636" w:type="dxa"/>
            <w:tcBorders/>
            <w:shd w:fill="CCEEFF" w:val="clear"/>
            <w:vAlign w:val="center"/>
          </w:tcPr>
          <w:p>
            <w:pPr>
              <w:pStyle w:val="TableContents"/>
              <w:bidi w:val="0"/>
              <w:spacing w:before="0" w:after="283"/>
              <w:jc w:val="right"/>
              <w:rPr/>
            </w:pPr>
            <w:r>
              <w:rPr/>
              <w:t>63,346</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bookmarkStart w:id="688" w:name="xdx_981_eus-gaap--DeferredTaxAssetsValua"/>
            <w:bookmarkEnd w:id="688"/>
          </w:p>
        </w:tc>
        <w:tc>
          <w:tcPr>
            <w:tcW w:w="1179" w:type="dxa"/>
            <w:tcBorders/>
            <w:shd w:fill="CCEEFF" w:val="clear"/>
            <w:vAlign w:val="center"/>
          </w:tcPr>
          <w:p>
            <w:pPr>
              <w:pStyle w:val="TableContents"/>
              <w:bidi w:val="0"/>
              <w:spacing w:before="0" w:after="283"/>
              <w:jc w:val="right"/>
              <w:rPr/>
            </w:pPr>
            <w:r>
              <w:rPr/>
              <w:t>115,087</w:t>
            </w:r>
          </w:p>
        </w:tc>
        <w:tc>
          <w:tcPr>
            <w:tcW w:w="162" w:type="dxa"/>
            <w:tcBorders/>
            <w:shd w:fill="CCEEFF" w:val="clear"/>
            <w:vAlign w:val="center"/>
          </w:tcPr>
          <w:p>
            <w:pPr>
              <w:pStyle w:val="TableContents"/>
              <w:bidi w:val="0"/>
              <w:spacing w:before="0" w:after="283"/>
              <w:ind w:left="0" w:right="0" w:hanging="200"/>
              <w:jc w:val="left"/>
              <w:rPr/>
            </w:pPr>
            <w:r>
              <w:rPr/>
              <w:t> </w:t>
            </w:r>
          </w:p>
        </w:tc>
      </w:tr>
      <w:tr>
        <w:trPr/>
        <w:tc>
          <w:tcPr>
            <w:tcW w:w="4235" w:type="dxa"/>
            <w:tcBorders/>
            <w:shd w:fill="FFFFFF" w:val="clear"/>
            <w:vAlign w:val="center"/>
          </w:tcPr>
          <w:p>
            <w:pPr>
              <w:pStyle w:val="TableContents"/>
              <w:bidi w:val="0"/>
              <w:spacing w:before="0" w:after="283"/>
              <w:jc w:val="left"/>
              <w:rPr/>
            </w:pPr>
            <w:r>
              <w:rPr/>
              <w:t>Addition/(reduction)</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bookmarkStart w:id="689" w:name="xdx_980_ecustom--Additionreduction_c2025"/>
            <w:bookmarkEnd w:id="689"/>
          </w:p>
        </w:tc>
        <w:tc>
          <w:tcPr>
            <w:tcW w:w="1636" w:type="dxa"/>
            <w:tcBorders/>
            <w:shd w:fill="FFFFFF" w:val="clear"/>
            <w:vAlign w:val="center"/>
          </w:tcPr>
          <w:p>
            <w:pPr>
              <w:pStyle w:val="TableContents"/>
              <w:bidi w:val="0"/>
              <w:spacing w:before="0" w:after="283"/>
              <w:jc w:val="right"/>
              <w:rPr/>
            </w:pPr>
            <w:r>
              <w:rPr/>
              <w:t>53,640</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bookmarkStart w:id="690" w:name="xdx_989_ecustom--Additionreduction_c2026"/>
            <w:bookmarkEnd w:id="690"/>
          </w:p>
        </w:tc>
        <w:tc>
          <w:tcPr>
            <w:tcW w:w="1179" w:type="dxa"/>
            <w:tcBorders/>
            <w:shd w:fill="FFFFFF" w:val="clear"/>
            <w:vAlign w:val="center"/>
          </w:tcPr>
          <w:p>
            <w:pPr>
              <w:pStyle w:val="TableContents"/>
              <w:bidi w:val="0"/>
              <w:spacing w:before="0" w:after="283"/>
              <w:jc w:val="right"/>
              <w:rPr/>
            </w:pPr>
            <w:r>
              <w:rPr/>
              <w:t>(45,953</w:t>
            </w:r>
          </w:p>
        </w:tc>
        <w:tc>
          <w:tcPr>
            <w:tcW w:w="162" w:type="dxa"/>
            <w:tcBorders/>
            <w:shd w:fill="FFFFFF" w:val="clear"/>
            <w:vAlign w:val="center"/>
          </w:tcPr>
          <w:p>
            <w:pPr>
              <w:pStyle w:val="TableContents"/>
              <w:bidi w:val="0"/>
              <w:spacing w:before="0" w:after="283"/>
              <w:ind w:left="0" w:right="0" w:hanging="200"/>
              <w:jc w:val="left"/>
              <w:rPr/>
            </w:pPr>
            <w:r>
              <w:rPr/>
              <w:t>)</w:t>
            </w:r>
          </w:p>
        </w:tc>
      </w:tr>
      <w:tr>
        <w:trPr/>
        <w:tc>
          <w:tcPr>
            <w:tcW w:w="4235"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1" w:name="xdx_983_ecustom--DeferredTaxAssetsForeig"/>
            <w:bookmarkEnd w:id="691"/>
          </w:p>
        </w:tc>
        <w:tc>
          <w:tcPr>
            <w:tcW w:w="1636" w:type="dxa"/>
            <w:tcBorders>
              <w:bottom w:val="single" w:sz="8" w:space="0" w:color="000000"/>
            </w:tcBorders>
            <w:shd w:fill="CCEEFF" w:val="clear"/>
            <w:tcMar>
              <w:bottom w:w="28" w:type="dxa"/>
            </w:tcMar>
            <w:vAlign w:val="center"/>
          </w:tcPr>
          <w:p>
            <w:pPr>
              <w:pStyle w:val="TableContents"/>
              <w:bidi w:val="0"/>
              <w:spacing w:before="0" w:after="283"/>
              <w:jc w:val="right"/>
              <w:rPr/>
            </w:pPr>
            <w:r>
              <w:rPr/>
              <w:t>(1,899</w:t>
            </w:r>
          </w:p>
        </w:tc>
        <w:tc>
          <w:tcPr>
            <w:tcW w:w="1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2" w:name="xdx_987_ecustom--DeferredTaxAssetsForeig"/>
            <w:bookmarkEnd w:id="692"/>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pPr>
            <w:r>
              <w:rPr/>
              <w:t>558</w:t>
            </w:r>
          </w:p>
        </w:tc>
        <w:tc>
          <w:tcPr>
            <w:tcW w:w="162" w:type="dxa"/>
            <w:tcBorders/>
            <w:shd w:fill="CCEEFF" w:val="clear"/>
            <w:vAlign w:val="center"/>
          </w:tcPr>
          <w:p>
            <w:pPr>
              <w:pStyle w:val="TableContents"/>
              <w:bidi w:val="0"/>
              <w:spacing w:before="0" w:after="283"/>
              <w:ind w:left="0" w:right="0" w:hanging="200"/>
              <w:jc w:val="left"/>
              <w:rPr/>
            </w:pPr>
            <w:r>
              <w:rPr/>
              <w:t> </w:t>
            </w:r>
          </w:p>
        </w:tc>
      </w:tr>
      <w:tr>
        <w:trPr/>
        <w:tc>
          <w:tcPr>
            <w:tcW w:w="4235" w:type="dxa"/>
            <w:tcBorders/>
            <w:shd w:fill="FFFFFF" w:val="clear"/>
            <w:vAlign w:val="center"/>
          </w:tcPr>
          <w:p>
            <w:pPr>
              <w:pStyle w:val="TableContents"/>
              <w:bidi w:val="0"/>
              <w:spacing w:before="0" w:after="283"/>
              <w:jc w:val="left"/>
              <w:rPr>
                <w:b/>
              </w:rPr>
            </w:pPr>
            <w:r>
              <w:rPr>
                <w:b/>
              </w:rPr>
              <w:t>Balance at end of the period</w:t>
            </w:r>
          </w:p>
        </w:tc>
        <w:tc>
          <w:tcPr>
            <w:tcW w:w="60" w:type="dxa"/>
            <w:tcBorders/>
            <w:shd w:fill="FFFFFF" w:val="clear"/>
            <w:vAlign w:val="center"/>
          </w:tcPr>
          <w:p>
            <w:pPr>
              <w:pStyle w:val="TableContents"/>
              <w:bidi w:val="0"/>
              <w:spacing w:before="0" w:after="283"/>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93" w:name="xdx_980_eus-gaap--DeferredTaxAssetsValua"/>
            <w:bookmarkEnd w:id="693"/>
          </w:p>
        </w:tc>
        <w:tc>
          <w:tcPr>
            <w:tcW w:w="16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115,087</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94" w:name="xdx_985_eus-gaap--DeferredTaxAssetsValua"/>
            <w:bookmarkEnd w:id="694"/>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69,692</w:t>
            </w:r>
          </w:p>
        </w:tc>
        <w:tc>
          <w:tcPr>
            <w:tcW w:w="162"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95" w:name="xdx_8A6_zJNScs5wvhOl"/>
      <w:bookmarkEnd w:id="69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through the Entities in PRC and Vietnam and the valuation allowance is considered on each individual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assessment is that it is not more likely than not that these deferred tax assets will be realized.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operating loss attributable to PRC Entities can only be carried forward for a maximum period of five years. Tax losses of non-PRC Entities can be carried forward indefinitely.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Income Tax Law and the implementation rules, profits of the PRC Entities earned on or after January 1, 2008 and distributed by the PRC Entities to the Company are subject to a withholding tax at a rate of 10%, unless the Company will be deemed as a resident enterprise for tax purposes. Since the Company intends to reinvest the earnings of the PRC Entities in operations in the PRC, the PRC Entities do not intend to declare dividends to their immediate non-PRC established holding companies in the foreseeable future. Accordingly, no deferred taxation on undistributed earnings of the PRC Entities has been recognized as of June 30,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Tax Administration and Collection Law, the statute of limitations is three years if the underpayment of taxes is due to computational errors made by the taxpayer or its withholding agent. The statute of limitations extends to five years under special circumstances, which are not clearly defined. In the case of a related party transaction, the statute of limitations is ten years. There is no statute of limitations in the case of tax evasion. The Company did not accrue any liability, interest or penalties related to underpayment of taxes in the unaudited condensed consolidated statements of income for the six months ended June 30, 2025 and 2026, respectively. And there were no completed or ongoing examinations by tax authorities as of June 30,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Guo Shui Fa [2009] No.2, the PRC tax authorities have the right to deem the Company for a tax amount based on the transfer pricing contemporaneous documentations (the “Contemporaneous Documentations”) or a basis that they considered reasonable.</w:t>
      </w:r>
    </w:p>
    <w:p>
      <w:pPr>
        <w:pStyle w:val="TextBody"/>
        <w:bidi w:val="0"/>
        <w:jc w:val="both"/>
        <w:rPr>
          <w:caps w:val="false"/>
          <w:smallCaps w:val="false"/>
        </w:rPr>
      </w:pPr>
      <w:r>
        <w:rPr>
          <w:caps w:val="false"/>
          <w:smallCaps w:val="false"/>
        </w:rPr>
        <w:t> </w:t>
      </w:r>
    </w:p>
    <w:p>
      <w:pPr>
        <w:pStyle w:val="TextBody"/>
        <w:bidi w:val="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Uncertain tax positions</w:t>
      </w:r>
    </w:p>
    <w:p>
      <w:pPr>
        <w:pStyle w:val="TextBody"/>
        <w:bidi w:val="0"/>
        <w:ind w:left="0" w:right="0" w:hanging="1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 each uncertain tax position (including the potential application of interest and penalties) based on the technical merits, and measure the unrecognized benefits associated with the tax positions. As of December 31, 2025 and June 30, 2026, the Company did not have any significant unrecognized uncertain tax positions.</w:t>
      </w:r>
    </w:p>
    <w:p>
      <w:pPr>
        <w:pStyle w:val="TextBody"/>
        <w:bidi w:val="0"/>
        <w:jc w:val="both"/>
        <w:rPr>
          <w:caps w:val="false"/>
          <w:smallCaps w:val="false"/>
        </w:rPr>
      </w:pPr>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696" w:name="xdx_802_ecustom--StaffRetirementPlansTex"/>
      <w:bookmarkEnd w:id="696"/>
      <w:r>
        <w:rPr>
          <w:rFonts w:ascii="Times New Roman;Times;Serif" w:hAnsi="Times New Roman;Times;Serif"/>
          <w:b/>
          <w:i w:val="false"/>
          <w:caps w:val="false"/>
          <w:smallCaps w:val="false"/>
          <w:sz w:val="20"/>
        </w:rPr>
        <w:t xml:space="preserve">11. </w:t>
      </w:r>
      <w:bookmarkStart w:id="697" w:name="xdx_825_zl5cBpDjn035"/>
      <w:bookmarkEnd w:id="697"/>
      <w:r>
        <w:rPr>
          <w:rFonts w:ascii="Times New Roman;Times;Serif" w:hAnsi="Times New Roman;Times;Serif"/>
          <w:b/>
          <w:i w:val="false"/>
          <w:caps w:val="false"/>
          <w:smallCaps w:val="false"/>
          <w:sz w:val="20"/>
        </w:rPr>
        <w:t>STAFF RETIREMENT PLANS</w:t>
      </w:r>
    </w:p>
    <w:p>
      <w:pPr>
        <w:pStyle w:val="TextBody"/>
        <w:bidi w:val="0"/>
        <w:ind w:left="647" w:right="0" w:hanging="647"/>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full-time employees in China participate in a government-mandated multiemployer defined contribution plan pursuant to which certain medical care unemployment insurance, employee housing fund and other welfare benefits are provided to employees. The China labor regulations require the Company to accrue for these benefits based on certain percentages of the employees’ salaries. No forfeited contributions may be used by the employer to reduce the existing level of contributions. The cost of the Company’s contribution to the staff retirement plans in China amounted to RMB</w:t>
      </w:r>
      <w:bookmarkStart w:id="698" w:name="xdx_902_eus-gaap--PensionAndOtherPostret"/>
      <w:bookmarkEnd w:id="698"/>
      <w:r>
        <w:rPr>
          <w:rFonts w:ascii="Times New Roman;Times;Serif" w:hAnsi="Times New Roman;Times;Serif"/>
          <w:b w:val="false"/>
          <w:i w:val="false"/>
          <w:caps w:val="false"/>
          <w:smallCaps w:val="false"/>
          <w:sz w:val="20"/>
        </w:rPr>
        <w:t>3,137,874 (equivalent to US$</w:t>
      </w:r>
      <w:bookmarkStart w:id="699" w:name="xdx_903_eus-gaap--PensionAndOtherPostret"/>
      <w:bookmarkEnd w:id="699"/>
      <w:r>
        <w:rPr>
          <w:rFonts w:ascii="Times New Roman;Times;Serif" w:hAnsi="Times New Roman;Times;Serif"/>
          <w:b w:val="false"/>
          <w:i w:val="false"/>
          <w:caps w:val="false"/>
          <w:smallCaps w:val="false"/>
          <w:sz w:val="20"/>
        </w:rPr>
        <w:t>433,699) and RMB</w:t>
      </w:r>
      <w:bookmarkStart w:id="700" w:name="xdx_905_eus-gaap--PensionAndOtherPostret"/>
      <w:bookmarkEnd w:id="700"/>
      <w:r>
        <w:rPr>
          <w:rFonts w:ascii="Times New Roman;Times;Serif" w:hAnsi="Times New Roman;Times;Serif"/>
          <w:b w:val="false"/>
          <w:i w:val="false"/>
          <w:caps w:val="false"/>
          <w:smallCaps w:val="false"/>
          <w:sz w:val="20"/>
        </w:rPr>
        <w:t>4,356,795 (equivalent to US$</w:t>
      </w:r>
      <w:bookmarkStart w:id="701" w:name="xdx_906_eus-gaap--PensionAndOtherPostret"/>
      <w:bookmarkEnd w:id="701"/>
      <w:r>
        <w:rPr>
          <w:rFonts w:ascii="Times New Roman;Times;Serif" w:hAnsi="Times New Roman;Times;Serif"/>
          <w:b w:val="false"/>
          <w:i w:val="false"/>
          <w:caps w:val="false"/>
          <w:smallCaps w:val="false"/>
          <w:sz w:val="20"/>
        </w:rPr>
        <w:t>634,879) for the six months ended June 30, 2025 and 2026,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operating in Vietnam are subject to mandatory statutory social insurance, health insurance and unemployment insurance contributions in accordance with the Vietnam’s Law on Social Insurance and related governmental decrees effective from July 1, 2025. The Vietnam labor regulations require the Company to accrue for these benefits based on certain percentages of the employees’ salaries. The cost of the Company’s contribution to the staff retirement plans in Vietnam amounted to VND 270,846,000 (equivalent to US$</w:t>
      </w:r>
      <w:bookmarkStart w:id="702" w:name="xdx_900_ecustom--ContributionToStaffReti"/>
      <w:bookmarkEnd w:id="702"/>
      <w:r>
        <w:rPr>
          <w:rFonts w:ascii="Times New Roman;Times;Serif" w:hAnsi="Times New Roman;Times;Serif"/>
          <w:b w:val="false"/>
          <w:i w:val="false"/>
          <w:caps w:val="false"/>
          <w:smallCaps w:val="false"/>
          <w:sz w:val="20"/>
        </w:rPr>
        <w:t>10,316) for the six months ended June 30, 2026.</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F-28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703" w:name="xdx_235_zX6YRQ5HrNI9"/>
      <w:bookmarkEnd w:id="703"/>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04" w:name="xdx_804_eus-gaap--LesseeOperatingLeasesT"/>
      <w:bookmarkEnd w:id="704"/>
      <w:r>
        <w:rPr>
          <w:rFonts w:ascii="Times New Roman;Times;Serif" w:hAnsi="Times New Roman;Times;Serif"/>
          <w:b/>
          <w:i w:val="false"/>
          <w:caps w:val="false"/>
          <w:smallCaps w:val="false"/>
          <w:sz w:val="20"/>
        </w:rPr>
        <w:t xml:space="preserve">12. </w:t>
      </w:r>
      <w:bookmarkStart w:id="705" w:name="xdx_825_ztCSHHV1hws9"/>
      <w:bookmarkEnd w:id="705"/>
      <w:r>
        <w:rPr>
          <w:rFonts w:ascii="Times New Roman;Times;Serif" w:hAnsi="Times New Roman;Times;Serif"/>
          <w:b/>
          <w:i w:val="false"/>
          <w:caps w:val="false"/>
          <w:smallCaps w:val="false"/>
          <w:sz w:val="20"/>
        </w:rPr>
        <w:t xml:space="preserve">LEASES AS LESSEE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mainly for certain plants and financing leases for certain machinery and equipment as a lessee. There are 16 operating lease agreements existed for the six months ended June 30,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depreciable life of assets and leasehold improvements is limited by the expected lease term unless there is a transfer of title or purchase option that is reasonably certain of being exercised.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operating lease was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6" w:name="xdx_89A_ecustom--ScheduleOfSupplementalB"/>
      <w:bookmarkStart w:id="707" w:name="xdx_89A_ecustom--ScheduleOfSupplementalB"/>
      <w:bookmarkEnd w:id="707"/>
    </w:p>
    <w:tbl>
      <w:tblPr>
        <w:tblW w:w="10205" w:type="dxa"/>
        <w:jc w:val="left"/>
        <w:tblInd w:w="0" w:type="dxa"/>
        <w:tblLayout w:type="fixed"/>
        <w:tblCellMar>
          <w:top w:w="0" w:type="dxa"/>
          <w:left w:w="0" w:type="dxa"/>
          <w:bottom w:w="0" w:type="dxa"/>
          <w:right w:w="0" w:type="dxa"/>
        </w:tblCellMar>
      </w:tblPr>
      <w:tblGrid>
        <w:gridCol w:w="6813"/>
        <w:gridCol w:w="60"/>
        <w:gridCol w:w="101"/>
        <w:gridCol w:w="1669"/>
        <w:gridCol w:w="101"/>
        <w:gridCol w:w="60"/>
        <w:gridCol w:w="74"/>
        <w:gridCol w:w="1230"/>
        <w:gridCol w:w="97"/>
      </w:tblGrid>
      <w:tr>
        <w:trPr/>
        <w:tc>
          <w:tcPr>
            <w:tcW w:w="6813" w:type="dxa"/>
            <w:tcBorders/>
            <w:shd w:fill="FFFFFF" w:val="clear"/>
            <w:vAlign w:val="center"/>
          </w:tcPr>
          <w:p>
            <w:pPr>
              <w:pStyle w:val="TableContents"/>
              <w:bidi w:val="0"/>
              <w:spacing w:before="0" w:after="283"/>
              <w:ind w:left="0" w:right="0" w:hanging="200"/>
              <w:jc w:val="left"/>
              <w:rPr/>
            </w:pPr>
            <w:bookmarkStart w:id="708" w:name="xdx_8BE_zXQFAhtieu16"/>
            <w:bookmarkEnd w:id="708"/>
            <w:r>
              <w:rPr/>
              <w:t>Schedule of Supplemental balance sheet information related to operating lease</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bookmarkStart w:id="709" w:name="xdx_498_20251231_zdzJsRmCRq92"/>
            <w:bookmarkEnd w:id="709"/>
          </w:p>
        </w:tc>
        <w:tc>
          <w:tcPr>
            <w:tcW w:w="1669"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710" w:name="xdx_498_20260630_z1O3q4GWYkth"/>
            <w:bookmarkEnd w:id="710"/>
          </w:p>
        </w:tc>
        <w:tc>
          <w:tcPr>
            <w:tcW w:w="123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200"/>
              <w:jc w:val="left"/>
              <w:rPr/>
            </w:pPr>
            <w:r>
              <w:rPr/>
              <w:t> </w:t>
            </w:r>
          </w:p>
        </w:tc>
      </w:tr>
      <w:tr>
        <w:trPr/>
        <w:tc>
          <w:tcPr>
            <w:tcW w:w="68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3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68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401"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68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1"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01" w:type="dxa"/>
            <w:gridSpan w:val="3"/>
            <w:tcBorders/>
            <w:vAlign w:val="center"/>
          </w:tcPr>
          <w:p>
            <w:pPr>
              <w:pStyle w:val="TableContents"/>
              <w:bidi w:val="0"/>
              <w:spacing w:before="0" w:after="283"/>
              <w:ind w:left="0" w:right="0" w:hanging="200"/>
              <w:jc w:val="center"/>
              <w:rPr>
                <w:b/>
              </w:rPr>
            </w:pPr>
            <w:r>
              <w:rPr>
                <w:b/>
              </w:rPr>
              <w:t>$US</w:t>
            </w:r>
          </w:p>
        </w:tc>
      </w:tr>
      <w:tr>
        <w:trPr/>
        <w:tc>
          <w:tcPr>
            <w:tcW w:w="68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1"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1" w:type="dxa"/>
            <w:gridSpan w:val="3"/>
            <w:tcBorders/>
            <w:vAlign w:val="center"/>
          </w:tcPr>
          <w:p>
            <w:pPr>
              <w:pStyle w:val="TableContents"/>
              <w:bidi w:val="0"/>
              <w:spacing w:before="0" w:after="283"/>
              <w:ind w:left="0" w:right="0" w:hanging="200"/>
              <w:jc w:val="center"/>
              <w:rPr>
                <w:b/>
              </w:rPr>
            </w:pPr>
            <w:r>
              <w:rPr>
                <w:b/>
              </w:rPr>
              <w:t>(Unaudited)</w:t>
            </w:r>
            <w:bookmarkStart w:id="711" w:name="xdx_40C_eus-gaap--OperatingLeaseRightOfU"/>
            <w:bookmarkEnd w:id="711"/>
          </w:p>
        </w:tc>
      </w:tr>
      <w:tr>
        <w:trPr/>
        <w:tc>
          <w:tcPr>
            <w:tcW w:w="6813" w:type="dxa"/>
            <w:tcBorders/>
            <w:shd w:fill="CCEEFF" w:val="clear"/>
            <w:vAlign w:val="center"/>
          </w:tcPr>
          <w:p>
            <w:pPr>
              <w:pStyle w:val="TableContents"/>
              <w:bidi w:val="0"/>
              <w:spacing w:before="0" w:after="283"/>
              <w:jc w:val="left"/>
              <w:rPr>
                <w:b/>
              </w:rPr>
            </w:pPr>
            <w:r>
              <w:rPr>
                <w:b/>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69" w:type="dxa"/>
            <w:tcBorders/>
            <w:shd w:fill="CCEEFF" w:val="clear"/>
            <w:vAlign w:val="center"/>
          </w:tcPr>
          <w:p>
            <w:pPr>
              <w:pStyle w:val="TableContents"/>
              <w:bidi w:val="0"/>
              <w:spacing w:before="0" w:after="283"/>
              <w:jc w:val="right"/>
              <w:rPr>
                <w:b/>
              </w:rPr>
            </w:pPr>
            <w:r>
              <w:rPr>
                <w:b/>
              </w:rPr>
              <w:t>3,574,775</w:t>
            </w:r>
          </w:p>
        </w:tc>
        <w:tc>
          <w:tcPr>
            <w:tcW w:w="1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b/>
              </w:rPr>
            </w:pPr>
            <w:r>
              <w:rPr>
                <w:b/>
              </w:rPr>
              <w:t>3,309,694</w:t>
            </w:r>
          </w:p>
        </w:tc>
        <w:tc>
          <w:tcPr>
            <w:tcW w:w="97" w:type="dxa"/>
            <w:tcBorders/>
            <w:shd w:fill="CCEEFF" w:val="clear"/>
            <w:vAlign w:val="center"/>
          </w:tcPr>
          <w:p>
            <w:pPr>
              <w:pStyle w:val="TableContents"/>
              <w:bidi w:val="0"/>
              <w:spacing w:before="0" w:after="283"/>
              <w:ind w:left="0" w:right="0" w:hanging="200"/>
              <w:jc w:val="left"/>
              <w:rPr/>
            </w:pPr>
            <w:r>
              <w:rPr/>
              <w:t> </w:t>
            </w:r>
          </w:p>
        </w:tc>
      </w:tr>
      <w:tr>
        <w:trPr/>
        <w:tc>
          <w:tcPr>
            <w:tcW w:w="68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69"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200"/>
              <w:jc w:val="left"/>
              <w:rPr/>
            </w:pPr>
            <w:r>
              <w:rPr/>
              <w:t> </w:t>
            </w:r>
            <w:bookmarkStart w:id="712" w:name="xdx_409_eus-gaap--OperatingLeaseLiabilit"/>
            <w:bookmarkEnd w:id="712"/>
          </w:p>
        </w:tc>
      </w:tr>
      <w:tr>
        <w:trPr/>
        <w:tc>
          <w:tcPr>
            <w:tcW w:w="6813" w:type="dxa"/>
            <w:tcBorders/>
            <w:shd w:fill="CCEEFF" w:val="clear"/>
            <w:vAlign w:val="center"/>
          </w:tcPr>
          <w:p>
            <w:pPr>
              <w:pStyle w:val="TableContents"/>
              <w:bidi w:val="0"/>
              <w:spacing w:before="0" w:after="283"/>
              <w:jc w:val="left"/>
              <w:rPr/>
            </w:pPr>
            <w:r>
              <w:rPr/>
              <w:t>Operating lease liabilities – current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69" w:type="dxa"/>
            <w:tcBorders/>
            <w:shd w:fill="CCEEFF" w:val="clear"/>
            <w:vAlign w:val="center"/>
          </w:tcPr>
          <w:p>
            <w:pPr>
              <w:pStyle w:val="TableContents"/>
              <w:bidi w:val="0"/>
              <w:spacing w:before="0" w:after="283"/>
              <w:jc w:val="right"/>
              <w:rPr/>
            </w:pPr>
            <w:r>
              <w:rPr/>
              <w:t>726,152</w:t>
            </w:r>
          </w:p>
        </w:tc>
        <w:tc>
          <w:tcPr>
            <w:tcW w:w="1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726,186</w:t>
            </w:r>
          </w:p>
        </w:tc>
        <w:tc>
          <w:tcPr>
            <w:tcW w:w="97" w:type="dxa"/>
            <w:tcBorders/>
            <w:shd w:fill="CCEEFF" w:val="clear"/>
            <w:vAlign w:val="center"/>
          </w:tcPr>
          <w:p>
            <w:pPr>
              <w:pStyle w:val="TableContents"/>
              <w:bidi w:val="0"/>
              <w:spacing w:before="0" w:after="283"/>
              <w:ind w:left="0" w:right="0" w:hanging="200"/>
              <w:jc w:val="left"/>
              <w:rPr/>
            </w:pPr>
            <w:r>
              <w:rPr/>
              <w:t> </w:t>
            </w:r>
            <w:bookmarkStart w:id="713" w:name="xdx_404_eus-gaap--OperatingLeaseLiabilit"/>
            <w:bookmarkEnd w:id="713"/>
          </w:p>
        </w:tc>
      </w:tr>
      <w:tr>
        <w:trPr/>
        <w:tc>
          <w:tcPr>
            <w:tcW w:w="6813" w:type="dxa"/>
            <w:tcBorders/>
            <w:shd w:fill="FFFFFF" w:val="clear"/>
            <w:vAlign w:val="center"/>
          </w:tcPr>
          <w:p>
            <w:pPr>
              <w:pStyle w:val="TableContents"/>
              <w:bidi w:val="0"/>
              <w:spacing w:before="0" w:after="283"/>
              <w:jc w:val="left"/>
              <w:rPr/>
            </w:pPr>
            <w:r>
              <w:rPr/>
              <w:t>Operating lease liabilities – non-current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9" w:type="dxa"/>
            <w:tcBorders>
              <w:bottom w:val="single" w:sz="8" w:space="0" w:color="000000"/>
            </w:tcBorders>
            <w:shd w:fill="FFFFFF" w:val="clear"/>
            <w:tcMar>
              <w:bottom w:w="28" w:type="dxa"/>
            </w:tcMar>
            <w:vAlign w:val="center"/>
          </w:tcPr>
          <w:p>
            <w:pPr>
              <w:pStyle w:val="TableContents"/>
              <w:bidi w:val="0"/>
              <w:spacing w:before="0" w:after="283"/>
              <w:jc w:val="right"/>
              <w:rPr/>
            </w:pPr>
            <w:r>
              <w:rPr/>
              <w:t>2,876,209</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pPr>
            <w:r>
              <w:rPr/>
              <w:t>2,592,046</w:t>
            </w:r>
          </w:p>
        </w:tc>
        <w:tc>
          <w:tcPr>
            <w:tcW w:w="97" w:type="dxa"/>
            <w:tcBorders/>
            <w:shd w:fill="FFFFFF" w:val="clear"/>
            <w:vAlign w:val="center"/>
          </w:tcPr>
          <w:p>
            <w:pPr>
              <w:pStyle w:val="TableContents"/>
              <w:bidi w:val="0"/>
              <w:spacing w:before="0" w:after="283"/>
              <w:ind w:left="0" w:right="0" w:hanging="200"/>
              <w:jc w:val="left"/>
              <w:rPr/>
            </w:pPr>
            <w:r>
              <w:rPr/>
              <w:t> </w:t>
            </w:r>
            <w:bookmarkStart w:id="714" w:name="xdx_40A_ecustom--TotalOperatingLeaseLiab"/>
            <w:bookmarkEnd w:id="714"/>
          </w:p>
        </w:tc>
      </w:tr>
      <w:tr>
        <w:trPr/>
        <w:tc>
          <w:tcPr>
            <w:tcW w:w="6813" w:type="dxa"/>
            <w:tcBorders/>
            <w:shd w:fill="CCEEFF" w:val="clear"/>
            <w:vAlign w:val="center"/>
          </w:tcPr>
          <w:p>
            <w:pPr>
              <w:pStyle w:val="TableContents"/>
              <w:bidi w:val="0"/>
              <w:spacing w:before="0" w:after="283"/>
              <w:jc w:val="left"/>
              <w:rPr>
                <w:b/>
              </w:rPr>
            </w:pPr>
            <w:r>
              <w:rPr>
                <w:b/>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6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3,602,361</w:t>
            </w:r>
          </w:p>
        </w:tc>
        <w:tc>
          <w:tcPr>
            <w:tcW w:w="1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3,318,232</w:t>
            </w:r>
          </w:p>
        </w:tc>
        <w:tc>
          <w:tcPr>
            <w:tcW w:w="97"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7927" w:type="dxa"/>
        <w:jc w:val="left"/>
        <w:tblInd w:w="0" w:type="dxa"/>
        <w:tblLayout w:type="fixed"/>
        <w:tblCellMar>
          <w:top w:w="0" w:type="dxa"/>
          <w:left w:w="0" w:type="dxa"/>
          <w:bottom w:w="0" w:type="dxa"/>
          <w:right w:w="0" w:type="dxa"/>
        </w:tblCellMar>
      </w:tblPr>
      <w:tblGrid>
        <w:gridCol w:w="4355"/>
        <w:gridCol w:w="60"/>
        <w:gridCol w:w="85"/>
        <w:gridCol w:w="1240"/>
        <w:gridCol w:w="304"/>
        <w:gridCol w:w="85"/>
        <w:gridCol w:w="85"/>
        <w:gridCol w:w="1388"/>
        <w:gridCol w:w="325"/>
      </w:tblGrid>
      <w:tr>
        <w:trPr/>
        <w:tc>
          <w:tcPr>
            <w:tcW w:w="435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51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5" w:type="dxa"/>
            <w:tcBorders/>
            <w:vAlign w:val="center"/>
          </w:tcPr>
          <w:p>
            <w:pPr>
              <w:pStyle w:val="TableContents"/>
              <w:bidi w:val="0"/>
              <w:spacing w:before="0" w:after="283"/>
              <w:jc w:val="left"/>
              <w:rPr/>
            </w:pPr>
            <w:r>
              <w:rPr/>
              <w:t> </w:t>
            </w:r>
          </w:p>
        </w:tc>
        <w:tc>
          <w:tcPr>
            <w:tcW w:w="179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2026</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2" w:type="dxa"/>
            <w:gridSpan w:val="7"/>
            <w:tcBorders/>
            <w:vAlign w:val="center"/>
          </w:tcPr>
          <w:p>
            <w:pPr>
              <w:pStyle w:val="TableContents"/>
              <w:bidi w:val="0"/>
              <w:spacing w:before="0" w:after="283"/>
              <w:ind w:left="0" w:right="0" w:hanging="200"/>
              <w:jc w:val="center"/>
              <w:rPr>
                <w:b/>
              </w:rPr>
            </w:pPr>
            <w:r>
              <w:rPr>
                <w:b/>
              </w:rPr>
              <w:t>(Unaudited)</w:t>
            </w:r>
          </w:p>
        </w:tc>
      </w:tr>
      <w:tr>
        <w:trPr/>
        <w:tc>
          <w:tcPr>
            <w:tcW w:w="4355" w:type="dxa"/>
            <w:tcBorders/>
            <w:shd w:fill="CCEEFF" w:val="clear"/>
            <w:vAlign w:val="center"/>
          </w:tcPr>
          <w:p>
            <w:pPr>
              <w:pStyle w:val="TableContents"/>
              <w:bidi w:val="0"/>
              <w:spacing w:before="0" w:after="283"/>
              <w:jc w:val="left"/>
              <w:rPr/>
            </w:pPr>
            <w:r>
              <w:rPr/>
              <w:t>Weighted discount rate for the operating lease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bookmarkStart w:id="715" w:name="xdx_90F_eus-gaap--OperatingLeaseWeighted"/>
            <w:bookmarkEnd w:id="715"/>
            <w:r>
              <w:rPr/>
              <w:t>3.74</w:t>
            </w:r>
          </w:p>
        </w:tc>
        <w:tc>
          <w:tcPr>
            <w:tcW w:w="30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bookmarkStart w:id="716" w:name="xdx_909_eus-gaap--OperatingLeaseWeighted"/>
            <w:bookmarkEnd w:id="716"/>
            <w:r>
              <w:rPr/>
              <w:t>3.56</w:t>
            </w:r>
          </w:p>
        </w:tc>
        <w:tc>
          <w:tcPr>
            <w:tcW w:w="325" w:type="dxa"/>
            <w:tcBorders/>
            <w:shd w:fill="CCEEFF" w:val="clear"/>
            <w:vAlign w:val="center"/>
          </w:tcPr>
          <w:p>
            <w:pPr>
              <w:pStyle w:val="TableContents"/>
              <w:bidi w:val="0"/>
              <w:spacing w:before="0" w:after="283"/>
              <w:ind w:left="0" w:right="0" w:hanging="200"/>
              <w:jc w:val="left"/>
              <w:rPr/>
            </w:pPr>
            <w:r>
              <w:rPr/>
              <w:t>%</w:t>
            </w:r>
          </w:p>
        </w:tc>
      </w:tr>
      <w:tr>
        <w:trPr/>
        <w:tc>
          <w:tcPr>
            <w:tcW w:w="4355" w:type="dxa"/>
            <w:tcBorders/>
            <w:shd w:fill="FFFFFF" w:val="clear"/>
            <w:vAlign w:val="center"/>
          </w:tcPr>
          <w:p>
            <w:pPr>
              <w:pStyle w:val="TableContents"/>
              <w:bidi w:val="0"/>
              <w:spacing w:before="0" w:after="283"/>
              <w:jc w:val="left"/>
              <w:rPr/>
            </w:pPr>
            <w:r>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sz w:val="20"/>
              </w:rPr>
            </w:pPr>
            <w:bookmarkStart w:id="717" w:name="xdx_906_eus-gaap--OperatingLeaseWeighted"/>
            <w:bookmarkEnd w:id="717"/>
            <w:r>
              <w:rPr>
                <w:sz w:val="20"/>
              </w:rPr>
              <w:t>31 months</w:t>
            </w:r>
          </w:p>
        </w:tc>
        <w:tc>
          <w:tcPr>
            <w:tcW w:w="30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sz w:val="20"/>
              </w:rPr>
            </w:pPr>
            <w:bookmarkStart w:id="718" w:name="xdx_90E_eus-gaap--OperatingLeaseWeighted"/>
            <w:bookmarkEnd w:id="718"/>
            <w:r>
              <w:rPr>
                <w:sz w:val="20"/>
              </w:rPr>
              <w:t>100 months</w:t>
            </w:r>
          </w:p>
        </w:tc>
        <w:tc>
          <w:tcPr>
            <w:tcW w:w="32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719" w:name="xdx_8A3_zwCXJRRgjZo4"/>
      <w:bookmarkEnd w:id="719"/>
      <w:r>
        <w:rPr>
          <w:caps w:val="false"/>
          <w:smallCaps w:val="false"/>
        </w:rPr>
        <w:t> </w:t>
      </w:r>
    </w:p>
    <w:p>
      <w:pPr>
        <w:pStyle w:val="TextBody"/>
        <w:bidi w:val="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For the six months ended June 30, 2025 and 2026, the lease expense was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20" w:name="xdx_89A_eus-gaap--LeaseCostTableTextBloc"/>
      <w:bookmarkStart w:id="721" w:name="xdx_89A_eus-gaap--LeaseCostTableTextBloc"/>
      <w:bookmarkEnd w:id="721"/>
    </w:p>
    <w:tbl>
      <w:tblPr>
        <w:tblW w:w="6173" w:type="dxa"/>
        <w:jc w:val="left"/>
        <w:tblInd w:w="0" w:type="dxa"/>
        <w:tblLayout w:type="fixed"/>
        <w:tblCellMar>
          <w:top w:w="0" w:type="dxa"/>
          <w:left w:w="0" w:type="dxa"/>
          <w:bottom w:w="0" w:type="dxa"/>
          <w:right w:w="0" w:type="dxa"/>
        </w:tblCellMar>
      </w:tblPr>
      <w:tblGrid>
        <w:gridCol w:w="2600"/>
        <w:gridCol w:w="60"/>
        <w:gridCol w:w="110"/>
        <w:gridCol w:w="1468"/>
        <w:gridCol w:w="110"/>
        <w:gridCol w:w="110"/>
        <w:gridCol w:w="110"/>
        <w:gridCol w:w="1468"/>
        <w:gridCol w:w="137"/>
      </w:tblGrid>
      <w:tr>
        <w:trPr/>
        <w:tc>
          <w:tcPr>
            <w:tcW w:w="2600" w:type="dxa"/>
            <w:tcBorders/>
            <w:shd w:fill="FFFFFF" w:val="clear"/>
            <w:vAlign w:val="center"/>
          </w:tcPr>
          <w:p>
            <w:pPr>
              <w:pStyle w:val="TableContents"/>
              <w:bidi w:val="0"/>
              <w:spacing w:before="0" w:after="283"/>
              <w:ind w:left="0" w:right="0" w:hanging="200"/>
              <w:jc w:val="left"/>
              <w:rPr/>
            </w:pPr>
            <w:bookmarkStart w:id="722" w:name="xdx_8B7_z9XvIwWv03Vb"/>
            <w:bookmarkEnd w:id="722"/>
            <w:r>
              <w:rPr/>
              <w:t>Schedule of Lease expense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723" w:name="xdx_49D_20250101__20250630_zLkMZgwhaaOd"/>
            <w:bookmarkEnd w:id="723"/>
          </w:p>
        </w:tc>
        <w:tc>
          <w:tcPr>
            <w:tcW w:w="14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724" w:name="xdx_49E_20260101__20260630_zdoqL5BdDiC2"/>
            <w:bookmarkEnd w:id="724"/>
          </w:p>
        </w:tc>
        <w:tc>
          <w:tcPr>
            <w:tcW w:w="1468"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ind w:left="0" w:right="0" w:hanging="200"/>
              <w:jc w:val="left"/>
              <w:rPr/>
            </w:pPr>
            <w:r>
              <w:rPr/>
              <w:t> </w:t>
            </w:r>
          </w:p>
        </w:tc>
      </w:tr>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3"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w:t>
            </w:r>
          </w:p>
        </w:tc>
      </w:tr>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8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c>
          <w:tcPr>
            <w:tcW w:w="171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2026</w:t>
            </w:r>
          </w:p>
        </w:tc>
      </w:tr>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88" w:type="dxa"/>
            <w:gridSpan w:val="3"/>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c>
          <w:tcPr>
            <w:tcW w:w="1715" w:type="dxa"/>
            <w:gridSpan w:val="3"/>
            <w:tcBorders/>
            <w:vAlign w:val="center"/>
          </w:tcPr>
          <w:p>
            <w:pPr>
              <w:pStyle w:val="TableContents"/>
              <w:bidi w:val="0"/>
              <w:spacing w:before="0" w:after="283"/>
              <w:ind w:left="0" w:right="0" w:hanging="200"/>
              <w:jc w:val="center"/>
              <w:rPr>
                <w:b/>
              </w:rPr>
            </w:pPr>
            <w:r>
              <w:rPr>
                <w:b/>
              </w:rPr>
              <w:t>$US</w:t>
            </w:r>
          </w:p>
        </w:tc>
      </w:tr>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3" w:type="dxa"/>
            <w:gridSpan w:val="7"/>
            <w:tcBorders/>
            <w:vAlign w:val="center"/>
          </w:tcPr>
          <w:p>
            <w:pPr>
              <w:pStyle w:val="TableContents"/>
              <w:bidi w:val="0"/>
              <w:spacing w:before="0" w:after="283"/>
              <w:ind w:left="0" w:right="0" w:hanging="200"/>
              <w:jc w:val="center"/>
              <w:rPr>
                <w:b/>
              </w:rPr>
            </w:pPr>
            <w:r>
              <w:rPr>
                <w:b/>
              </w:rPr>
              <w:t>(Unaudited)</w:t>
            </w:r>
            <w:bookmarkStart w:id="725" w:name="xdx_401_eus-gaap--OperatingLeaseExpense_"/>
            <w:bookmarkEnd w:id="725"/>
          </w:p>
        </w:tc>
      </w:tr>
      <w:tr>
        <w:trPr/>
        <w:tc>
          <w:tcPr>
            <w:tcW w:w="2600" w:type="dxa"/>
            <w:tcBorders/>
            <w:shd w:fill="CCEEFF" w:val="clear"/>
            <w:vAlign w:val="center"/>
          </w:tcPr>
          <w:p>
            <w:pPr>
              <w:pStyle w:val="TableContents"/>
              <w:bidi w:val="0"/>
              <w:spacing w:before="0" w:after="283"/>
              <w:jc w:val="left"/>
              <w:rPr/>
            </w:pPr>
            <w:r>
              <w:rPr/>
              <w:t>Operating leases expense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213,488</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432,162</w:t>
            </w:r>
          </w:p>
        </w:tc>
        <w:tc>
          <w:tcPr>
            <w:tcW w:w="137" w:type="dxa"/>
            <w:tcBorders/>
            <w:shd w:fill="CCEEFF" w:val="clear"/>
            <w:vAlign w:val="center"/>
          </w:tcPr>
          <w:p>
            <w:pPr>
              <w:pStyle w:val="TableContents"/>
              <w:bidi w:val="0"/>
              <w:spacing w:before="0" w:after="283"/>
              <w:ind w:left="0" w:right="0" w:hanging="200"/>
              <w:jc w:val="left"/>
              <w:rPr/>
            </w:pPr>
            <w:r>
              <w:rPr/>
              <w:t> </w:t>
            </w:r>
            <w:bookmarkStart w:id="726" w:name="xdx_407_eus-gaap--ShortTermLeaseCost_zSE"/>
            <w:bookmarkEnd w:id="726"/>
          </w:p>
        </w:tc>
      </w:tr>
      <w:tr>
        <w:trPr/>
        <w:tc>
          <w:tcPr>
            <w:tcW w:w="2600" w:type="dxa"/>
            <w:tcBorders/>
            <w:shd w:fill="FFFFFF" w:val="clear"/>
            <w:vAlign w:val="center"/>
          </w:tcPr>
          <w:p>
            <w:pPr>
              <w:pStyle w:val="TableContents"/>
              <w:bidi w:val="0"/>
              <w:spacing w:before="0" w:after="283"/>
              <w:jc w:val="left"/>
              <w:rPr/>
            </w:pPr>
            <w:r>
              <w:rPr/>
              <w:t>Short-term lease expense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23,328</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24,436</w:t>
            </w:r>
          </w:p>
        </w:tc>
        <w:tc>
          <w:tcPr>
            <w:tcW w:w="137" w:type="dxa"/>
            <w:tcBorders/>
            <w:shd w:fill="FFFFFF" w:val="clear"/>
            <w:vAlign w:val="center"/>
          </w:tcPr>
          <w:p>
            <w:pPr>
              <w:pStyle w:val="TableContents"/>
              <w:bidi w:val="0"/>
              <w:spacing w:before="0" w:after="283"/>
              <w:ind w:left="0" w:right="0" w:hanging="200"/>
              <w:jc w:val="left"/>
              <w:rPr/>
            </w:pPr>
            <w:r>
              <w:rPr/>
              <w:t> </w:t>
            </w:r>
            <w:bookmarkStart w:id="727" w:name="xdx_40C_eus-gaap--VariableLeaseCost_zLwx"/>
            <w:bookmarkEnd w:id="727"/>
          </w:p>
        </w:tc>
      </w:tr>
      <w:tr>
        <w:trPr/>
        <w:tc>
          <w:tcPr>
            <w:tcW w:w="2600" w:type="dxa"/>
            <w:tcBorders/>
            <w:shd w:fill="CCEEFF" w:val="clear"/>
            <w:vAlign w:val="center"/>
          </w:tcPr>
          <w:p>
            <w:pPr>
              <w:pStyle w:val="TableContents"/>
              <w:bidi w:val="0"/>
              <w:spacing w:before="0" w:after="283"/>
              <w:jc w:val="left"/>
              <w:rPr/>
            </w:pPr>
            <w:r>
              <w:rPr/>
              <w:t>Finance lease cost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38,495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ind w:left="0" w:right="0" w:hanging="200"/>
              <w:jc w:val="left"/>
              <w:rPr/>
            </w:pPr>
            <w:r>
              <w:rPr/>
              <w:t> </w:t>
            </w:r>
            <w:bookmarkStart w:id="728" w:name="xdx_404_ecustom--LeaseInterest_zJmX0jLkF"/>
            <w:bookmarkEnd w:id="728"/>
          </w:p>
        </w:tc>
      </w:tr>
      <w:tr>
        <w:trPr/>
        <w:tc>
          <w:tcPr>
            <w:tcW w:w="260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8" w:type="dxa"/>
            <w:tcBorders>
              <w:bottom w:val="single" w:sz="8" w:space="0" w:color="000000"/>
            </w:tcBorders>
            <w:shd w:fill="FFFFFF" w:val="clear"/>
            <w:tcMar>
              <w:bottom w:w="28" w:type="dxa"/>
            </w:tcMar>
            <w:vAlign w:val="center"/>
          </w:tcPr>
          <w:p>
            <w:pPr>
              <w:pStyle w:val="TableContents"/>
              <w:bidi w:val="0"/>
              <w:spacing w:before="0" w:after="283"/>
              <w:jc w:val="right"/>
              <w:rPr/>
            </w:pPr>
            <w:r>
              <w:rPr/>
              <w:t>20,667</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7" w:type="dxa"/>
            <w:tcBorders/>
            <w:shd w:fill="FFFFFF" w:val="clear"/>
            <w:vAlign w:val="center"/>
          </w:tcPr>
          <w:p>
            <w:pPr>
              <w:pStyle w:val="TableContents"/>
              <w:bidi w:val="0"/>
              <w:spacing w:before="0" w:after="283"/>
              <w:ind w:left="0" w:right="0" w:hanging="200"/>
              <w:jc w:val="left"/>
              <w:rPr/>
            </w:pPr>
            <w:r>
              <w:rPr/>
              <w:t> </w:t>
            </w:r>
            <w:bookmarkStart w:id="729" w:name="xdx_408_eus-gaap--LeaseCost_zCnrlHS0nWOc"/>
            <w:bookmarkEnd w:id="729"/>
          </w:p>
        </w:tc>
      </w:tr>
      <w:tr>
        <w:trPr/>
        <w:tc>
          <w:tcPr>
            <w:tcW w:w="26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295,978</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456,598</w:t>
            </w:r>
          </w:p>
        </w:tc>
        <w:tc>
          <w:tcPr>
            <w:tcW w:w="137"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730" w:name="xdx_8AF_zTtRqBnJK0rh"/>
      <w:bookmarkEnd w:id="73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most of the leases do not provide an implicit rate of return, the Company used the incremental borrowing rate based on the information available at lease commencement date in determining the present value of lease payments.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of future minimum payments under the Company’s operating leases as of June 30, 2026:</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31" w:name="xdx_894_eus-gaap--LesseeOperatingLeaseLi"/>
      <w:bookmarkStart w:id="732" w:name="xdx_894_eus-gaap--LesseeOperatingLeaseLi"/>
      <w:bookmarkEnd w:id="732"/>
    </w:p>
    <w:tbl>
      <w:tblPr>
        <w:tblW w:w="5175" w:type="dxa"/>
        <w:jc w:val="left"/>
        <w:tblInd w:w="0" w:type="dxa"/>
        <w:tblLayout w:type="fixed"/>
        <w:tblCellMar>
          <w:top w:w="0" w:type="dxa"/>
          <w:left w:w="0" w:type="dxa"/>
          <w:bottom w:w="0" w:type="dxa"/>
          <w:right w:w="0" w:type="dxa"/>
        </w:tblCellMar>
      </w:tblPr>
      <w:tblGrid>
        <w:gridCol w:w="3905"/>
        <w:gridCol w:w="60"/>
        <w:gridCol w:w="60"/>
        <w:gridCol w:w="60"/>
        <w:gridCol w:w="980"/>
        <w:gridCol w:w="110"/>
      </w:tblGrid>
      <w:tr>
        <w:trPr/>
        <w:tc>
          <w:tcPr>
            <w:tcW w:w="3905" w:type="dxa"/>
            <w:tcBorders/>
            <w:shd w:fill="FFFFFF" w:val="clear"/>
            <w:vAlign w:val="center"/>
          </w:tcPr>
          <w:p>
            <w:pPr>
              <w:pStyle w:val="TableContents"/>
              <w:bidi w:val="0"/>
              <w:spacing w:before="0" w:after="283"/>
              <w:ind w:left="0" w:right="0" w:hanging="200"/>
              <w:jc w:val="left"/>
              <w:rPr/>
            </w:pPr>
            <w:bookmarkStart w:id="733" w:name="xdx_8B9_z7PiBOsIDMnl"/>
            <w:bookmarkEnd w:id="733"/>
            <w:r>
              <w:rPr/>
              <w:t>Schedule of future minimum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34" w:name="xdx_495_20260630_zReQNMpRUNs9"/>
            <w:bookmarkEnd w:id="734"/>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965" w:type="dxa"/>
            <w:gridSpan w:val="2"/>
            <w:tcBorders/>
            <w:vAlign w:val="center"/>
          </w:tcPr>
          <w:p>
            <w:pPr>
              <w:pStyle w:val="TableContents"/>
              <w:bidi w:val="0"/>
              <w:spacing w:before="0" w:after="283"/>
              <w:jc w:val="left"/>
              <w:rPr>
                <w:b/>
              </w:rPr>
            </w:pPr>
            <w:r>
              <w:rPr>
                <w:b/>
              </w:rPr>
              <w:t>For the year ending December 31,</w:t>
            </w:r>
          </w:p>
        </w:tc>
        <w:tc>
          <w:tcPr>
            <w:tcW w:w="60" w:type="dxa"/>
            <w:tcBorders/>
            <w:vAlign w:val="center"/>
          </w:tcPr>
          <w:p>
            <w:pPr>
              <w:pStyle w:val="TableContents"/>
              <w:bidi w:val="0"/>
              <w:spacing w:before="0" w:after="283"/>
              <w:jc w:val="left"/>
              <w:rPr/>
            </w:pPr>
            <w:r>
              <w:rPr/>
              <w:t> </w:t>
            </w:r>
          </w:p>
        </w:tc>
        <w:tc>
          <w:tcPr>
            <w:tcW w:w="11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r>
      <w:tr>
        <w:trPr/>
        <w:tc>
          <w:tcPr>
            <w:tcW w:w="39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0" w:type="dxa"/>
            <w:gridSpan w:val="3"/>
            <w:tcBorders/>
            <w:vAlign w:val="center"/>
          </w:tcPr>
          <w:p>
            <w:pPr>
              <w:pStyle w:val="TableContents"/>
              <w:bidi w:val="0"/>
              <w:spacing w:before="0" w:after="283"/>
              <w:ind w:left="0" w:right="0" w:hanging="200"/>
              <w:jc w:val="center"/>
              <w:rPr>
                <w:b/>
              </w:rPr>
            </w:pPr>
            <w:r>
              <w:rPr>
                <w:b/>
              </w:rPr>
              <w:t>$US</w:t>
            </w:r>
            <w:bookmarkStart w:id="735" w:name="xdx_405_eus-gaap--LesseeOperatingLeaseLi"/>
            <w:bookmarkEnd w:id="735"/>
          </w:p>
        </w:tc>
      </w:tr>
      <w:tr>
        <w:trPr/>
        <w:tc>
          <w:tcPr>
            <w:tcW w:w="3905" w:type="dxa"/>
            <w:tcBorders/>
            <w:shd w:fill="CCEEFF" w:val="clear"/>
            <w:vAlign w:val="center"/>
          </w:tcPr>
          <w:p>
            <w:pPr>
              <w:pStyle w:val="TableContents"/>
              <w:bidi w:val="0"/>
              <w:spacing w:before="0" w:after="283"/>
              <w:jc w:val="left"/>
              <w:rPr>
                <w:sz w:val="20"/>
              </w:rPr>
            </w:pPr>
            <w:r>
              <w:rPr>
                <w:sz w:val="20"/>
              </w:rPr>
              <w:t>Remainder of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398,603</w:t>
            </w:r>
          </w:p>
        </w:tc>
        <w:tc>
          <w:tcPr>
            <w:tcW w:w="110" w:type="dxa"/>
            <w:tcBorders/>
            <w:shd w:fill="CCEEFF" w:val="clear"/>
            <w:vAlign w:val="center"/>
          </w:tcPr>
          <w:p>
            <w:pPr>
              <w:pStyle w:val="TableContents"/>
              <w:bidi w:val="0"/>
              <w:spacing w:before="0" w:after="283"/>
              <w:ind w:left="0" w:right="0" w:hanging="200"/>
              <w:jc w:val="left"/>
              <w:rPr/>
            </w:pPr>
            <w:r>
              <w:rPr/>
              <w:t> </w:t>
            </w:r>
            <w:bookmarkStart w:id="736" w:name="xdx_404_eus-gaap--LesseeOperatingLeaseLi"/>
            <w:bookmarkEnd w:id="736"/>
          </w:p>
        </w:tc>
      </w:tr>
      <w:tr>
        <w:trPr/>
        <w:tc>
          <w:tcPr>
            <w:tcW w:w="390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653,774</w:t>
            </w:r>
          </w:p>
        </w:tc>
        <w:tc>
          <w:tcPr>
            <w:tcW w:w="110" w:type="dxa"/>
            <w:tcBorders/>
            <w:shd w:fill="FFFFFF" w:val="clear"/>
            <w:vAlign w:val="center"/>
          </w:tcPr>
          <w:p>
            <w:pPr>
              <w:pStyle w:val="TableContents"/>
              <w:bidi w:val="0"/>
              <w:spacing w:before="0" w:after="283"/>
              <w:ind w:left="0" w:right="0" w:hanging="200"/>
              <w:jc w:val="left"/>
              <w:rPr/>
            </w:pPr>
            <w:r>
              <w:rPr/>
              <w:t> </w:t>
            </w:r>
            <w:bookmarkStart w:id="737" w:name="xdx_40B_eus-gaap--LesseeOperatingLeaseLi"/>
            <w:bookmarkEnd w:id="737"/>
          </w:p>
        </w:tc>
      </w:tr>
      <w:tr>
        <w:trPr/>
        <w:tc>
          <w:tcPr>
            <w:tcW w:w="390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426,883</w:t>
            </w:r>
          </w:p>
        </w:tc>
        <w:tc>
          <w:tcPr>
            <w:tcW w:w="110" w:type="dxa"/>
            <w:tcBorders/>
            <w:shd w:fill="CCEEFF" w:val="clear"/>
            <w:vAlign w:val="center"/>
          </w:tcPr>
          <w:p>
            <w:pPr>
              <w:pStyle w:val="TableContents"/>
              <w:bidi w:val="0"/>
              <w:spacing w:before="0" w:after="283"/>
              <w:ind w:left="0" w:right="0" w:hanging="200"/>
              <w:jc w:val="left"/>
              <w:rPr/>
            </w:pPr>
            <w:r>
              <w:rPr/>
              <w:t> </w:t>
            </w:r>
            <w:bookmarkStart w:id="738" w:name="xdx_409_eus-gaap--LesseeOperatingLeaseLi"/>
            <w:bookmarkEnd w:id="738"/>
          </w:p>
        </w:tc>
      </w:tr>
      <w:tr>
        <w:trPr/>
        <w:tc>
          <w:tcPr>
            <w:tcW w:w="390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258,324</w:t>
            </w:r>
          </w:p>
        </w:tc>
        <w:tc>
          <w:tcPr>
            <w:tcW w:w="110" w:type="dxa"/>
            <w:tcBorders/>
            <w:shd w:fill="FFFFFF" w:val="clear"/>
            <w:vAlign w:val="center"/>
          </w:tcPr>
          <w:p>
            <w:pPr>
              <w:pStyle w:val="TableContents"/>
              <w:bidi w:val="0"/>
              <w:spacing w:before="0" w:after="283"/>
              <w:ind w:left="0" w:right="0" w:hanging="200"/>
              <w:jc w:val="left"/>
              <w:rPr/>
            </w:pPr>
            <w:r>
              <w:rPr/>
              <w:t> </w:t>
            </w:r>
            <w:bookmarkStart w:id="739" w:name="xdx_407_eus-gaap--LesseeOperatingLeaseLi"/>
            <w:bookmarkEnd w:id="739"/>
          </w:p>
        </w:tc>
      </w:tr>
      <w:tr>
        <w:trPr/>
        <w:tc>
          <w:tcPr>
            <w:tcW w:w="390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254,824</w:t>
            </w:r>
          </w:p>
        </w:tc>
        <w:tc>
          <w:tcPr>
            <w:tcW w:w="110" w:type="dxa"/>
            <w:tcBorders/>
            <w:shd w:fill="CCEEFF" w:val="clear"/>
            <w:vAlign w:val="center"/>
          </w:tcPr>
          <w:p>
            <w:pPr>
              <w:pStyle w:val="TableContents"/>
              <w:bidi w:val="0"/>
              <w:spacing w:before="0" w:after="283"/>
              <w:ind w:left="0" w:right="0" w:hanging="200"/>
              <w:jc w:val="left"/>
              <w:rPr/>
            </w:pPr>
            <w:r>
              <w:rPr/>
              <w:t> </w:t>
            </w:r>
            <w:bookmarkStart w:id="740" w:name="xdx_40E_eus-gaap--LesseeOperatingLeaseLi"/>
            <w:bookmarkEnd w:id="740"/>
          </w:p>
        </w:tc>
      </w:tr>
      <w:tr>
        <w:trPr/>
        <w:tc>
          <w:tcPr>
            <w:tcW w:w="3905" w:type="dxa"/>
            <w:tcBorders/>
            <w:shd w:fill="FFFFFF" w:val="clear"/>
            <w:vAlign w:val="center"/>
          </w:tcPr>
          <w:p>
            <w:pPr>
              <w:pStyle w:val="TableContents"/>
              <w:bidi w:val="0"/>
              <w:spacing w:before="0" w:after="283"/>
              <w:jc w:val="left"/>
              <w:rPr>
                <w:sz w:val="20"/>
              </w:rPr>
            </w:pPr>
            <w:r>
              <w:rPr>
                <w:sz w:val="20"/>
              </w:rPr>
              <w:t>2031 and thereafter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1,894,426</w:t>
            </w:r>
          </w:p>
        </w:tc>
        <w:tc>
          <w:tcPr>
            <w:tcW w:w="110" w:type="dxa"/>
            <w:tcBorders/>
            <w:shd w:fill="FFFFFF" w:val="clear"/>
            <w:vAlign w:val="center"/>
          </w:tcPr>
          <w:p>
            <w:pPr>
              <w:pStyle w:val="TableContents"/>
              <w:bidi w:val="0"/>
              <w:spacing w:before="0" w:after="283"/>
              <w:ind w:left="0" w:right="0" w:hanging="200"/>
              <w:jc w:val="left"/>
              <w:rPr/>
            </w:pPr>
            <w:r>
              <w:rPr/>
              <w:t> </w:t>
            </w:r>
            <w:bookmarkStart w:id="741" w:name="xdx_407_eus-gaap--LesseeOperatingLeaseLi"/>
            <w:bookmarkEnd w:id="741"/>
          </w:p>
        </w:tc>
      </w:tr>
      <w:tr>
        <w:trPr/>
        <w:tc>
          <w:tcPr>
            <w:tcW w:w="3905" w:type="dxa"/>
            <w:tcBorders/>
            <w:shd w:fill="CCEEFF" w:val="clear"/>
            <w:vAlign w:val="center"/>
          </w:tcPr>
          <w:p>
            <w:pPr>
              <w:pStyle w:val="TableContents"/>
              <w:bidi w:val="0"/>
              <w:spacing w:before="0" w:after="283"/>
              <w:jc w:val="left"/>
              <w:rPr>
                <w:b/>
                <w:sz w:val="20"/>
              </w:rPr>
            </w:pPr>
            <w:r>
              <w:rPr>
                <w:b/>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3,886,834</w:t>
            </w:r>
          </w:p>
        </w:tc>
        <w:tc>
          <w:tcPr>
            <w:tcW w:w="110" w:type="dxa"/>
            <w:tcBorders/>
            <w:shd w:fill="CCEEFF" w:val="clear"/>
            <w:vAlign w:val="center"/>
          </w:tcPr>
          <w:p>
            <w:pPr>
              <w:pStyle w:val="TableContents"/>
              <w:bidi w:val="0"/>
              <w:spacing w:before="0" w:after="283"/>
              <w:ind w:left="0" w:right="0" w:hanging="200"/>
              <w:jc w:val="left"/>
              <w:rPr/>
            </w:pPr>
            <w:r>
              <w:rPr/>
              <w:t> </w:t>
            </w:r>
            <w:bookmarkStart w:id="742" w:name="xdx_40A_eus-gaap--LesseeOperatingLeaseLi"/>
            <w:bookmarkEnd w:id="742"/>
          </w:p>
        </w:tc>
      </w:tr>
      <w:tr>
        <w:trPr/>
        <w:tc>
          <w:tcPr>
            <w:tcW w:w="3905" w:type="dxa"/>
            <w:tcBorders/>
            <w:shd w:fill="FFFFFF" w:val="clear"/>
            <w:vAlign w:val="center"/>
          </w:tcPr>
          <w:p>
            <w:pPr>
              <w:pStyle w:val="TableContents"/>
              <w:bidi w:val="0"/>
              <w:spacing w:before="0" w:after="283"/>
              <w:jc w:val="left"/>
              <w:rPr>
                <w:sz w:val="20"/>
              </w:rPr>
            </w:pPr>
            <w:r>
              <w:rPr>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(568,602</w:t>
            </w:r>
          </w:p>
        </w:tc>
        <w:tc>
          <w:tcPr>
            <w:tcW w:w="110" w:type="dxa"/>
            <w:tcBorders/>
            <w:shd w:fill="FFFFFF" w:val="clear"/>
            <w:vAlign w:val="center"/>
          </w:tcPr>
          <w:p>
            <w:pPr>
              <w:pStyle w:val="TableContents"/>
              <w:bidi w:val="0"/>
              <w:spacing w:before="0" w:after="283"/>
              <w:ind w:left="0" w:right="0" w:hanging="200"/>
              <w:jc w:val="left"/>
              <w:rPr/>
            </w:pPr>
            <w:r>
              <w:rPr/>
              <w:t>)</w:t>
            </w:r>
            <w:bookmarkStart w:id="743" w:name="xdx_404_eus-gaap--OperatingLeaseLiabilit"/>
            <w:bookmarkEnd w:id="743"/>
          </w:p>
        </w:tc>
      </w:tr>
      <w:tr>
        <w:trPr/>
        <w:tc>
          <w:tcPr>
            <w:tcW w:w="3905" w:type="dxa"/>
            <w:tcBorders/>
            <w:shd w:fill="CCEEFF" w:val="clear"/>
            <w:vAlign w:val="center"/>
          </w:tcPr>
          <w:p>
            <w:pPr>
              <w:pStyle w:val="TableContents"/>
              <w:bidi w:val="0"/>
              <w:spacing w:before="0" w:after="283"/>
              <w:jc w:val="left"/>
              <w:rPr>
                <w:b/>
                <w:sz w:val="20"/>
              </w:rPr>
            </w:pPr>
            <w:r>
              <w:rPr>
                <w:b/>
                <w:sz w:val="20"/>
              </w:rPr>
              <w:t>Total operating lease liabilities, net of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3,318,232</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44" w:name="xdx_8AC_zikd7X6P1kSj"/>
      <w:bookmarkEnd w:id="74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F-29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745" w:name="xdx_232_z8TgwtRzyP86"/>
      <w:bookmarkEnd w:id="745"/>
      <w:r>
        <w:rPr>
          <w:caps w:val="false"/>
          <w:smallCaps w:val="false"/>
        </w:rPr>
        <w:t>  </w:t>
      </w:r>
    </w:p>
    <w:p>
      <w:pPr>
        <w:pStyle w:val="TextBody"/>
        <w:bidi w:val="0"/>
        <w:ind w:left="360" w:right="0" w:hanging="360"/>
        <w:jc w:val="both"/>
        <w:rPr>
          <w:rFonts w:ascii="Times New Roman;Times;Serif" w:hAnsi="Times New Roman;Times;Serif"/>
          <w:b w:val="false"/>
          <w:i w:val="false"/>
          <w:caps w:val="false"/>
          <w:smallCaps w:val="false"/>
          <w:sz w:val="20"/>
        </w:rPr>
      </w:pPr>
      <w:bookmarkStart w:id="746" w:name="xdx_803_ecustom--OtherIncomeDisclosureTe"/>
      <w:bookmarkEnd w:id="746"/>
      <w:r>
        <w:rPr>
          <w:rFonts w:ascii="Times New Roman;Times;Serif" w:hAnsi="Times New Roman;Times;Serif"/>
          <w:b/>
          <w:i w:val="false"/>
          <w:caps w:val="false"/>
          <w:smallCaps w:val="false"/>
          <w:sz w:val="20"/>
        </w:rPr>
        <w:t xml:space="preserve">13. </w:t>
      </w:r>
      <w:bookmarkStart w:id="747" w:name="xdx_822_zelkK6sYEPCa"/>
      <w:bookmarkEnd w:id="747"/>
      <w:r>
        <w:rPr>
          <w:rFonts w:ascii="Times New Roman;Times;Serif" w:hAnsi="Times New Roman;Times;Serif"/>
          <w:b/>
          <w:i w:val="false"/>
          <w:caps w:val="false"/>
          <w:smallCaps w:val="false"/>
          <w:sz w:val="20"/>
        </w:rPr>
        <w:t>OTHER INCOME, NET</w:t>
      </w:r>
      <w:r>
        <w:rPr>
          <w:rFonts w:ascii="Times New Roman;Times;Serif" w:hAnsi="Times New Roman;Times;Serif"/>
          <w:b w:val="false"/>
          <w:i w:val="false"/>
          <w:caps w:val="false"/>
          <w:smallCaps w:val="false"/>
          <w:sz w:val="20"/>
        </w:rPr>
        <w:t>  </w:t>
      </w:r>
    </w:p>
    <w:p>
      <w:pPr>
        <w:pStyle w:val="TextBody"/>
        <w:bidi w:val="0"/>
        <w:ind w:left="360" w:right="0" w:hanging="360"/>
        <w:jc w:val="both"/>
        <w:rPr>
          <w:caps w:val="false"/>
          <w:smallCaps w:val="false"/>
        </w:rPr>
      </w:pPr>
      <w:r>
        <w:rPr>
          <w:caps w:val="false"/>
          <w:smallCaps w:val="false"/>
        </w:rPr>
        <w:t> </w:t>
      </w:r>
    </w:p>
    <w:p>
      <w:pPr>
        <w:pStyle w:val="TextBody"/>
        <w:bidi w:val="0"/>
        <w:ind w:left="647" w:right="0" w:hanging="6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consists of the following:</w:t>
      </w:r>
    </w:p>
    <w:p>
      <w:pPr>
        <w:pStyle w:val="TextBody"/>
        <w:bidi w:val="0"/>
        <w:ind w:left="647" w:right="0" w:hanging="647"/>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48" w:name="xdx_894_eus-gaap--ScheduleOfOtherNonoper"/>
      <w:bookmarkStart w:id="749" w:name="xdx_894_eus-gaap--ScheduleOfOtherNonoper"/>
      <w:bookmarkEnd w:id="749"/>
    </w:p>
    <w:tbl>
      <w:tblPr>
        <w:tblW w:w="8004" w:type="dxa"/>
        <w:jc w:val="left"/>
        <w:tblInd w:w="0" w:type="dxa"/>
        <w:tblLayout w:type="fixed"/>
        <w:tblCellMar>
          <w:top w:w="0" w:type="dxa"/>
          <w:left w:w="0" w:type="dxa"/>
          <w:bottom w:w="0" w:type="dxa"/>
          <w:right w:w="0" w:type="dxa"/>
        </w:tblCellMar>
      </w:tblPr>
      <w:tblGrid>
        <w:gridCol w:w="4430"/>
        <w:gridCol w:w="60"/>
        <w:gridCol w:w="108"/>
        <w:gridCol w:w="1442"/>
        <w:gridCol w:w="108"/>
        <w:gridCol w:w="108"/>
        <w:gridCol w:w="108"/>
        <w:gridCol w:w="1442"/>
        <w:gridCol w:w="198"/>
      </w:tblGrid>
      <w:tr>
        <w:trPr/>
        <w:tc>
          <w:tcPr>
            <w:tcW w:w="4430" w:type="dxa"/>
            <w:tcBorders/>
            <w:shd w:fill="FFFFFF" w:val="clear"/>
            <w:vAlign w:val="center"/>
          </w:tcPr>
          <w:p>
            <w:pPr>
              <w:pStyle w:val="TableContents"/>
              <w:bidi w:val="0"/>
              <w:spacing w:before="0" w:after="283"/>
              <w:ind w:left="0" w:right="0" w:hanging="200"/>
              <w:jc w:val="left"/>
              <w:rPr/>
            </w:pPr>
            <w:bookmarkStart w:id="750" w:name="xdx_8B4_ztBOL0y99e1f"/>
            <w:bookmarkEnd w:id="750"/>
            <w:r>
              <w:rPr/>
              <w:t>Schedule of Other income, net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bookmarkStart w:id="751" w:name="xdx_499_20250101__20250630_z0bJ2l5Pgbrh"/>
            <w:bookmarkEnd w:id="751"/>
          </w:p>
        </w:tc>
        <w:tc>
          <w:tcPr>
            <w:tcW w:w="1442"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bookmarkStart w:id="752" w:name="xdx_49C_20260101__20260630_zdgihdJqJjP3"/>
            <w:bookmarkEnd w:id="752"/>
          </w:p>
        </w:tc>
        <w:tc>
          <w:tcPr>
            <w:tcW w:w="1442"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ind w:left="0" w:right="0" w:hanging="200"/>
              <w:jc w:val="left"/>
              <w:rPr/>
            </w:pPr>
            <w:r>
              <w:rPr/>
              <w:t> </w:t>
            </w:r>
          </w:p>
        </w:tc>
      </w:tr>
      <w:tr>
        <w:trPr/>
        <w:tc>
          <w:tcPr>
            <w:tcW w:w="4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4"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w:t>
            </w:r>
          </w:p>
        </w:tc>
      </w:tr>
      <w:tr>
        <w:trPr/>
        <w:tc>
          <w:tcPr>
            <w:tcW w:w="4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jc w:val="left"/>
              <w:rPr/>
            </w:pPr>
            <w:r>
              <w:rPr/>
              <w:t> </w:t>
            </w:r>
          </w:p>
        </w:tc>
        <w:tc>
          <w:tcPr>
            <w:tcW w:w="174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2026</w:t>
            </w:r>
          </w:p>
        </w:tc>
      </w:tr>
      <w:tr>
        <w:trPr/>
        <w:tc>
          <w:tcPr>
            <w:tcW w:w="4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8" w:type="dxa"/>
            <w:gridSpan w:val="3"/>
            <w:tcBorders/>
            <w:vAlign w:val="center"/>
          </w:tcPr>
          <w:p>
            <w:pPr>
              <w:pStyle w:val="TableContents"/>
              <w:bidi w:val="0"/>
              <w:spacing w:before="0" w:after="283"/>
              <w:jc w:val="center"/>
              <w:rPr>
                <w:b/>
              </w:rPr>
            </w:pPr>
            <w:r>
              <w:rPr>
                <w:b/>
              </w:rPr>
              <w:t>$US</w:t>
            </w:r>
          </w:p>
        </w:tc>
        <w:tc>
          <w:tcPr>
            <w:tcW w:w="108" w:type="dxa"/>
            <w:tcBorders/>
            <w:vAlign w:val="center"/>
          </w:tcPr>
          <w:p>
            <w:pPr>
              <w:pStyle w:val="TableContents"/>
              <w:bidi w:val="0"/>
              <w:spacing w:before="0" w:after="283"/>
              <w:jc w:val="left"/>
              <w:rPr/>
            </w:pPr>
            <w:r>
              <w:rPr/>
              <w:t> </w:t>
            </w:r>
          </w:p>
        </w:tc>
        <w:tc>
          <w:tcPr>
            <w:tcW w:w="1748" w:type="dxa"/>
            <w:gridSpan w:val="3"/>
            <w:tcBorders/>
            <w:vAlign w:val="center"/>
          </w:tcPr>
          <w:p>
            <w:pPr>
              <w:pStyle w:val="TableContents"/>
              <w:bidi w:val="0"/>
              <w:spacing w:before="0" w:after="283"/>
              <w:ind w:left="0" w:right="0" w:hanging="200"/>
              <w:jc w:val="center"/>
              <w:rPr>
                <w:b/>
              </w:rPr>
            </w:pPr>
            <w:r>
              <w:rPr>
                <w:b/>
              </w:rPr>
              <w:t>$US</w:t>
            </w:r>
          </w:p>
        </w:tc>
      </w:tr>
      <w:tr>
        <w:trPr/>
        <w:tc>
          <w:tcPr>
            <w:tcW w:w="4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4" w:type="dxa"/>
            <w:gridSpan w:val="7"/>
            <w:tcBorders/>
            <w:vAlign w:val="center"/>
          </w:tcPr>
          <w:p>
            <w:pPr>
              <w:pStyle w:val="TableContents"/>
              <w:bidi w:val="0"/>
              <w:spacing w:before="0" w:after="283"/>
              <w:ind w:left="0" w:right="0" w:hanging="200"/>
              <w:jc w:val="center"/>
              <w:rPr>
                <w:b/>
              </w:rPr>
            </w:pPr>
            <w:r>
              <w:rPr>
                <w:b/>
              </w:rPr>
              <w:t>(Unaudited)</w:t>
            </w:r>
            <w:bookmarkStart w:id="753" w:name="xdx_40A_ecustom--GovernmentGrants_zZXUdE"/>
            <w:bookmarkEnd w:id="753"/>
          </w:p>
        </w:tc>
      </w:tr>
      <w:tr>
        <w:trPr/>
        <w:tc>
          <w:tcPr>
            <w:tcW w:w="4430" w:type="dxa"/>
            <w:tcBorders/>
            <w:shd w:fill="CCEEFF" w:val="clear"/>
            <w:vAlign w:val="center"/>
          </w:tcPr>
          <w:p>
            <w:pPr>
              <w:pStyle w:val="TableContents"/>
              <w:bidi w:val="0"/>
              <w:spacing w:before="0" w:after="283"/>
              <w:jc w:val="left"/>
              <w:rPr>
                <w:sz w:val="20"/>
              </w:rPr>
            </w:pPr>
            <w:r>
              <w:rPr>
                <w:sz w:val="20"/>
              </w:rPr>
              <w:t xml:space="preserve">Government grants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70,799</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45,065</w:t>
            </w:r>
          </w:p>
        </w:tc>
        <w:tc>
          <w:tcPr>
            <w:tcW w:w="198" w:type="dxa"/>
            <w:tcBorders/>
            <w:shd w:fill="CCEEFF" w:val="clear"/>
            <w:vAlign w:val="center"/>
          </w:tcPr>
          <w:p>
            <w:pPr>
              <w:pStyle w:val="TableContents"/>
              <w:bidi w:val="0"/>
              <w:spacing w:before="0" w:after="283"/>
              <w:ind w:left="0" w:right="0" w:hanging="200"/>
              <w:jc w:val="left"/>
              <w:rPr/>
            </w:pPr>
            <w:r>
              <w:rPr/>
              <w:t> </w:t>
            </w:r>
            <w:bookmarkStart w:id="754" w:name="xdx_40D_ecustom--RentalIncomeLessorLease"/>
            <w:bookmarkEnd w:id="754"/>
          </w:p>
        </w:tc>
      </w:tr>
      <w:tr>
        <w:trPr/>
        <w:tc>
          <w:tcPr>
            <w:tcW w:w="4430" w:type="dxa"/>
            <w:tcBorders/>
            <w:shd w:fill="FFFFFF" w:val="clear"/>
            <w:vAlign w:val="center"/>
          </w:tcPr>
          <w:p>
            <w:pPr>
              <w:pStyle w:val="TableContents"/>
              <w:bidi w:val="0"/>
              <w:spacing w:before="0" w:after="283"/>
              <w:jc w:val="left"/>
              <w:rPr/>
            </w:pPr>
            <w:r>
              <w:rPr/>
              <w:t>Rental income (lessor lease)</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68,929</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106,708</w:t>
            </w:r>
          </w:p>
        </w:tc>
        <w:tc>
          <w:tcPr>
            <w:tcW w:w="198" w:type="dxa"/>
            <w:tcBorders/>
            <w:shd w:fill="FFFFFF" w:val="clear"/>
            <w:vAlign w:val="center"/>
          </w:tcPr>
          <w:p>
            <w:pPr>
              <w:pStyle w:val="TableContents"/>
              <w:bidi w:val="0"/>
              <w:spacing w:before="0" w:after="283"/>
              <w:ind w:left="0" w:right="0" w:hanging="200"/>
              <w:jc w:val="left"/>
              <w:rPr/>
            </w:pPr>
            <w:r>
              <w:rPr/>
              <w:t> </w:t>
            </w:r>
            <w:bookmarkStart w:id="755" w:name="xdx_400_ecustom--LossincomeFromDisposalO"/>
            <w:bookmarkEnd w:id="755"/>
          </w:p>
        </w:tc>
      </w:tr>
      <w:tr>
        <w:trPr/>
        <w:tc>
          <w:tcPr>
            <w:tcW w:w="4430" w:type="dxa"/>
            <w:tcBorders/>
            <w:shd w:fill="CCEEFF" w:val="clear"/>
            <w:vAlign w:val="center"/>
          </w:tcPr>
          <w:p>
            <w:pPr>
              <w:pStyle w:val="TableContents"/>
              <w:bidi w:val="0"/>
              <w:spacing w:before="0" w:after="283"/>
              <w:jc w:val="left"/>
              <w:rPr/>
            </w:pPr>
            <w:r>
              <w:rPr/>
              <w:t>Loss/(income) from disposal of scrap materials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22,836</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22,378</w:t>
            </w:r>
          </w:p>
        </w:tc>
        <w:tc>
          <w:tcPr>
            <w:tcW w:w="198" w:type="dxa"/>
            <w:tcBorders/>
            <w:shd w:fill="CCEEFF" w:val="clear"/>
            <w:vAlign w:val="center"/>
          </w:tcPr>
          <w:p>
            <w:pPr>
              <w:pStyle w:val="TableContents"/>
              <w:bidi w:val="0"/>
              <w:spacing w:before="0" w:after="283"/>
              <w:ind w:left="0" w:right="0" w:hanging="200"/>
              <w:jc w:val="left"/>
              <w:rPr/>
            </w:pPr>
            <w:r>
              <w:rPr/>
              <w:t> </w:t>
            </w:r>
            <w:bookmarkStart w:id="756" w:name="xdx_403_eus-gaap--IncreaseDecreaseInOthe"/>
            <w:bookmarkEnd w:id="756"/>
          </w:p>
        </w:tc>
      </w:tr>
      <w:tr>
        <w:trPr/>
        <w:tc>
          <w:tcPr>
            <w:tcW w:w="4430" w:type="dxa"/>
            <w:tcBorders/>
            <w:shd w:fill="FFFFFF" w:val="clear"/>
            <w:vAlign w:val="center"/>
          </w:tcPr>
          <w:p>
            <w:pPr>
              <w:pStyle w:val="TableContents"/>
              <w:bidi w:val="0"/>
              <w:spacing w:before="0" w:after="283"/>
              <w:jc w:val="left"/>
              <w:rPr>
                <w:sz w:val="20"/>
              </w:rPr>
            </w:pPr>
            <w:r>
              <w:rPr>
                <w:sz w:val="20"/>
              </w:rPr>
              <w:t>Derecognition of accounts payable</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23,139</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w:t>
            </w:r>
          </w:p>
        </w:tc>
        <w:tc>
          <w:tcPr>
            <w:tcW w:w="198" w:type="dxa"/>
            <w:tcBorders/>
            <w:shd w:fill="FFFFFF" w:val="clear"/>
            <w:vAlign w:val="center"/>
          </w:tcPr>
          <w:p>
            <w:pPr>
              <w:pStyle w:val="TableContents"/>
              <w:bidi w:val="0"/>
              <w:spacing w:before="0" w:after="283"/>
              <w:ind w:left="0" w:right="0" w:hanging="200"/>
              <w:jc w:val="left"/>
              <w:rPr/>
            </w:pPr>
            <w:r>
              <w:rPr/>
              <w:t> </w:t>
            </w:r>
            <w:bookmarkStart w:id="757" w:name="xdx_403_eus-gaap--OtherNoncashIncomeExpe"/>
            <w:bookmarkEnd w:id="757"/>
          </w:p>
        </w:tc>
      </w:tr>
      <w:tr>
        <w:trPr/>
        <w:tc>
          <w:tcPr>
            <w:tcW w:w="4430" w:type="dxa"/>
            <w:tcBorders/>
            <w:shd w:fill="CCEEFF" w:val="clear"/>
            <w:vAlign w:val="center"/>
          </w:tcPr>
          <w:p>
            <w:pPr>
              <w:pStyle w:val="TableContents"/>
              <w:bidi w:val="0"/>
              <w:spacing w:before="0" w:after="283"/>
              <w:jc w:val="left"/>
              <w:rPr/>
            </w:pPr>
            <w:r>
              <w:rPr/>
              <w:t>Other income/(expense)</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2" w:type="dxa"/>
            <w:tcBorders>
              <w:bottom w:val="single" w:sz="8" w:space="0" w:color="000000"/>
            </w:tcBorders>
            <w:shd w:fill="CCEEFF" w:val="clear"/>
            <w:tcMar>
              <w:bottom w:w="28" w:type="dxa"/>
            </w:tcMar>
            <w:vAlign w:val="center"/>
          </w:tcPr>
          <w:p>
            <w:pPr>
              <w:pStyle w:val="TableContents"/>
              <w:bidi w:val="0"/>
              <w:spacing w:before="0" w:after="283"/>
              <w:jc w:val="right"/>
              <w:rPr/>
            </w:pPr>
            <w:r>
              <w:rPr/>
              <w:t>1,246</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2" w:type="dxa"/>
            <w:tcBorders>
              <w:bottom w:val="single" w:sz="8" w:space="0" w:color="000000"/>
            </w:tcBorders>
            <w:shd w:fill="CCEEFF" w:val="clear"/>
            <w:tcMar>
              <w:bottom w:w="28" w:type="dxa"/>
            </w:tcMar>
            <w:vAlign w:val="center"/>
          </w:tcPr>
          <w:p>
            <w:pPr>
              <w:pStyle w:val="TableContents"/>
              <w:bidi w:val="0"/>
              <w:spacing w:before="0" w:after="283"/>
              <w:jc w:val="right"/>
              <w:rPr/>
            </w:pPr>
            <w:r>
              <w:rPr/>
              <w:t>(42,454</w:t>
            </w:r>
          </w:p>
        </w:tc>
        <w:tc>
          <w:tcPr>
            <w:tcW w:w="198" w:type="dxa"/>
            <w:tcBorders/>
            <w:shd w:fill="CCEEFF" w:val="clear"/>
            <w:vAlign w:val="center"/>
          </w:tcPr>
          <w:p>
            <w:pPr>
              <w:pStyle w:val="TableContents"/>
              <w:bidi w:val="0"/>
              <w:spacing w:before="0" w:after="283"/>
              <w:ind w:left="0" w:right="0" w:hanging="200"/>
              <w:jc w:val="left"/>
              <w:rPr/>
            </w:pPr>
            <w:r>
              <w:rPr/>
              <w:t>)</w:t>
            </w:r>
            <w:bookmarkStart w:id="758" w:name="xdx_401_eus-gaap--OtherOperatingIncomeEx"/>
            <w:bookmarkEnd w:id="758"/>
          </w:p>
        </w:tc>
      </w:tr>
      <w:tr>
        <w:trPr/>
        <w:tc>
          <w:tcPr>
            <w:tcW w:w="443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186,949</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131,697</w:t>
            </w:r>
          </w:p>
        </w:tc>
        <w:tc>
          <w:tcPr>
            <w:tcW w:w="198"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20"/>
              </w:rPr>
            </w:pPr>
            <w:r>
              <w:rPr>
                <w:sz w:val="20"/>
              </w:rPr>
              <w:t>(1)</w:t>
            </w:r>
          </w:p>
        </w:tc>
        <w:tc>
          <w:tcPr>
            <w:tcW w:w="9893" w:type="dxa"/>
            <w:tcBorders/>
            <w:vAlign w:val="center"/>
          </w:tcPr>
          <w:p>
            <w:pPr>
              <w:pStyle w:val="TableContents"/>
              <w:bidi w:val="0"/>
              <w:spacing w:before="0" w:after="283"/>
              <w:jc w:val="both"/>
              <w:rPr>
                <w:sz w:val="20"/>
              </w:rPr>
            </w:pPr>
            <w:r>
              <w:rPr>
                <w:sz w:val="20"/>
              </w:rPr>
              <w:t>Government grants mainly represent the subsidies for researching and development activity and improvement of production technology.</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8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20"/>
              </w:rPr>
            </w:pPr>
            <w:r>
              <w:rPr>
                <w:sz w:val="20"/>
              </w:rPr>
              <w:t>(2)</w:t>
            </w:r>
          </w:p>
        </w:tc>
        <w:tc>
          <w:tcPr>
            <w:tcW w:w="9893" w:type="dxa"/>
            <w:tcBorders/>
            <w:vAlign w:val="center"/>
          </w:tcPr>
          <w:p>
            <w:pPr>
              <w:pStyle w:val="TableContents"/>
              <w:bidi w:val="0"/>
              <w:spacing w:before="0" w:after="283"/>
              <w:jc w:val="both"/>
              <w:rPr>
                <w:sz w:val="20"/>
              </w:rPr>
            </w:pPr>
            <w:r>
              <w:rPr>
                <w:sz w:val="20"/>
              </w:rPr>
              <w:t>Derecognition of accounts payable represent liabilities that have been confirmed as settled.</w:t>
            </w:r>
          </w:p>
        </w:tc>
      </w:tr>
    </w:tbl>
    <w:p>
      <w:pPr>
        <w:pStyle w:val="TextBody"/>
        <w:bidi w:val="0"/>
        <w:ind w:left="360" w:right="0" w:hanging="360"/>
        <w:jc w:val="both"/>
        <w:rPr>
          <w:caps w:val="false"/>
          <w:smallCaps w:val="false"/>
        </w:rPr>
      </w:pPr>
      <w:bookmarkStart w:id="759" w:name="xdx_8A9_z0CcJ6AfAYDe"/>
      <w:bookmarkEnd w:id="759"/>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760" w:name="xdx_803_eus-gaap--CommitmentsAndContinge"/>
      <w:bookmarkEnd w:id="760"/>
      <w:r>
        <w:rPr>
          <w:rFonts w:ascii="Times New Roman;Times;Serif" w:hAnsi="Times New Roman;Times;Serif"/>
          <w:b/>
          <w:i w:val="false"/>
          <w:caps w:val="false"/>
          <w:smallCaps w:val="false"/>
          <w:sz w:val="20"/>
        </w:rPr>
        <w:t xml:space="preserve">14. </w:t>
      </w:r>
      <w:bookmarkStart w:id="761" w:name="xdx_822_zVDWAfS7OGxa"/>
      <w:bookmarkEnd w:id="761"/>
      <w:r>
        <w:rPr>
          <w:rFonts w:ascii="Times New Roman;Times;Serif" w:hAnsi="Times New Roman;Times;Serif"/>
          <w:b/>
          <w:i w:val="false"/>
          <w:caps w:val="false"/>
          <w:smallCaps w:val="false"/>
          <w:sz w:val="20"/>
        </w:rPr>
        <w:t>COMMITMENTS AND CONTINGENCIES</w:t>
      </w:r>
    </w:p>
    <w:p>
      <w:pPr>
        <w:pStyle w:val="TextBody"/>
        <w:bidi w:val="0"/>
        <w:ind w:left="647" w:right="0" w:hanging="647"/>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subtopic 450-20 of the FASB Accounting Standards Codification to report accounting for contingencies. Certain conditions may exist as of the date the unaudited condensed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leases which were disclosed in note 12, the Company has no other known contingencies as of June 30, 2026.</w:t>
      </w:r>
    </w:p>
    <w:p>
      <w:pPr>
        <w:pStyle w:val="TextBody"/>
        <w:bidi w:val="0"/>
        <w:jc w:val="both"/>
        <w:rPr>
          <w:caps w:val="false"/>
          <w:smallCaps w:val="false"/>
        </w:rPr>
      </w:pPr>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762" w:name="xdx_803_ecustom--OrdinarySharesTextBlock"/>
      <w:bookmarkEnd w:id="762"/>
      <w:r>
        <w:rPr>
          <w:rFonts w:ascii="Times New Roman;Times;Serif" w:hAnsi="Times New Roman;Times;Serif"/>
          <w:b/>
          <w:i w:val="false"/>
          <w:caps w:val="false"/>
          <w:smallCaps w:val="false"/>
          <w:sz w:val="20"/>
        </w:rPr>
        <w:t xml:space="preserve">15. </w:t>
      </w:r>
      <w:bookmarkStart w:id="763" w:name="xdx_822_zRkOi2FxTvBk"/>
      <w:bookmarkEnd w:id="763"/>
      <w:r>
        <w:rPr>
          <w:rFonts w:ascii="Times New Roman;Times;Serif" w:hAnsi="Times New Roman;Times;Serif"/>
          <w:b/>
          <w:i w:val="false"/>
          <w:caps w:val="false"/>
          <w:smallCaps w:val="false"/>
          <w:sz w:val="20"/>
        </w:rPr>
        <w:t>ORDINARY SHARES</w:t>
      </w:r>
    </w:p>
    <w:p>
      <w:pPr>
        <w:pStyle w:val="TextBody"/>
        <w:bidi w:val="0"/>
        <w:ind w:left="647" w:right="0" w:hanging="647"/>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 2024, the Company consummated the sale of </w:t>
      </w:r>
      <w:bookmarkStart w:id="764" w:name="xdx_906_eus-gaap--SaleOfStockNumberOfSha"/>
      <w:bookmarkEnd w:id="764"/>
      <w:r>
        <w:rPr>
          <w:rFonts w:ascii="Times New Roman;Times;Serif" w:hAnsi="Times New Roman;Times;Serif"/>
          <w:b w:val="false"/>
          <w:i w:val="false"/>
          <w:caps w:val="false"/>
          <w:smallCaps w:val="false"/>
          <w:sz w:val="20"/>
        </w:rPr>
        <w:t>1,250,000 ordinary shares at a price of $</w:t>
      </w:r>
      <w:bookmarkStart w:id="765" w:name="xdx_90E_eus-gaap--SharePrice_iI_c2024100"/>
      <w:bookmarkEnd w:id="765"/>
      <w:r>
        <w:rPr>
          <w:rFonts w:ascii="Times New Roman;Times;Serif" w:hAnsi="Times New Roman;Times;Serif"/>
          <w:b w:val="false"/>
          <w:i w:val="false"/>
          <w:caps w:val="false"/>
          <w:smallCaps w:val="false"/>
          <w:sz w:val="20"/>
        </w:rPr>
        <w:t>5.00 per share. The gross proceeds to the Company from the IPO, before deducting commissions, expense allowance, and expenses, were $</w:t>
      </w:r>
      <w:bookmarkStart w:id="766" w:name="xdx_907_eus-gaap--ProceedsFromIssuanceOf"/>
      <w:bookmarkEnd w:id="766"/>
      <w:r>
        <w:rPr>
          <w:rFonts w:ascii="Times New Roman;Times;Serif" w:hAnsi="Times New Roman;Times;Serif"/>
          <w:b w:val="false"/>
          <w:i w:val="false"/>
          <w:caps w:val="false"/>
          <w:smallCaps w:val="false"/>
          <w:sz w:val="20"/>
        </w:rPr>
        <w:t>6,250,000.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2024, the Company closed on the partial exercise of the over-allotment option by Cathay Securities, Inc. in connection with the IPO, to purchase an additional </w:t>
      </w:r>
      <w:bookmarkStart w:id="767" w:name="xdx_908_ecustom--PurchaseOfAdditionalSha"/>
      <w:bookmarkEnd w:id="767"/>
      <w:r>
        <w:rPr>
          <w:rFonts w:ascii="Times New Roman;Times;Serif" w:hAnsi="Times New Roman;Times;Serif"/>
          <w:b w:val="false"/>
          <w:i w:val="false"/>
          <w:caps w:val="false"/>
          <w:smallCaps w:val="false"/>
          <w:sz w:val="20"/>
        </w:rPr>
        <w:t>131,249 ordinary shares at the price of $5.00 per share. As a result, the Company has raised gross proceeds of $</w:t>
      </w:r>
      <w:bookmarkStart w:id="768" w:name="xdx_905_eus-gaap--ProceedsFromIssuanceIn"/>
      <w:bookmarkEnd w:id="768"/>
      <w:r>
        <w:rPr>
          <w:rFonts w:ascii="Times New Roman;Times;Serif" w:hAnsi="Times New Roman;Times;Serif"/>
          <w:b w:val="false"/>
          <w:i w:val="false"/>
          <w:caps w:val="false"/>
          <w:smallCaps w:val="false"/>
          <w:sz w:val="20"/>
        </w:rPr>
        <w:t>656,245, in addition to the IPO gross proceeds of $</w:t>
      </w:r>
      <w:bookmarkStart w:id="769" w:name="xdx_907_eus-gaap--ProceedsFromIssuanceOf"/>
      <w:bookmarkEnd w:id="769"/>
      <w:r>
        <w:rPr>
          <w:rFonts w:ascii="Times New Roman;Times;Serif" w:hAnsi="Times New Roman;Times;Serif"/>
          <w:b w:val="false"/>
          <w:i w:val="false"/>
          <w:caps w:val="false"/>
          <w:smallCaps w:val="false"/>
          <w:sz w:val="20"/>
        </w:rPr>
        <w:t>6,250,000, or combined gross proceeds in the IPO of $</w:t>
      </w:r>
      <w:bookmarkStart w:id="770" w:name="xdx_907_ecustom--UnderwritingDiscounts_i"/>
      <w:bookmarkEnd w:id="770"/>
      <w:r>
        <w:rPr>
          <w:rFonts w:ascii="Times New Roman;Times;Serif" w:hAnsi="Times New Roman;Times;Serif"/>
          <w:b w:val="false"/>
          <w:i w:val="false"/>
          <w:caps w:val="false"/>
          <w:smallCaps w:val="false"/>
          <w:sz w:val="20"/>
        </w:rPr>
        <w:t>6,906,245, before underwriting discounts and commissions and offering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 2025, an employee was granted </w:t>
      </w:r>
      <w:bookmarkStart w:id="771" w:name="xdx_908_ecustom--OrdinarySharesOutstandi"/>
      <w:bookmarkEnd w:id="771"/>
      <w:r>
        <w:rPr>
          <w:rFonts w:ascii="Times New Roman;Times;Serif" w:hAnsi="Times New Roman;Times;Serif"/>
          <w:b w:val="false"/>
          <w:i w:val="false"/>
          <w:caps w:val="false"/>
          <w:smallCaps w:val="false"/>
          <w:sz w:val="20"/>
        </w:rPr>
        <w:t xml:space="preserve">20,000 restricted ordinary shares in connection with sales activities in North America. The restricted shares are subject to a two-year service period commencing on January 1, 2025. Under the terms of the agreement, </w:t>
      </w:r>
      <w:bookmarkStart w:id="772" w:name="xdx_90D_eus-gaap--StockIssuedDuringPerio"/>
      <w:bookmarkEnd w:id="772"/>
      <w:r>
        <w:rPr>
          <w:rFonts w:ascii="Times New Roman;Times;Serif" w:hAnsi="Times New Roman;Times;Serif"/>
          <w:b w:val="false"/>
          <w:i w:val="false"/>
          <w:caps w:val="false"/>
          <w:smallCaps w:val="false"/>
          <w:sz w:val="20"/>
        </w:rPr>
        <w:t xml:space="preserve">10,000 shares will be granted annually during the service period, and each tranche is subject to a six-month lock-up restriction upon issuance. On October 16, 2025, the company issued </w:t>
      </w:r>
      <w:bookmarkStart w:id="773" w:name="xdx_909_eus-gaap--StockIssuedDuringPerio"/>
      <w:bookmarkEnd w:id="773"/>
      <w:r>
        <w:rPr>
          <w:rFonts w:ascii="Times New Roman;Times;Serif" w:hAnsi="Times New Roman;Times;Serif"/>
          <w:b w:val="false"/>
          <w:i w:val="false"/>
          <w:caps w:val="false"/>
          <w:smallCaps w:val="false"/>
          <w:sz w:val="20"/>
        </w:rPr>
        <w:t>10,000 of these restricted shares, representing the first annual tranche, which became subject to the six-month lock-up restriction from that issuance date. If the employee terminates services during the vesting period, the employee will automatically forfeit the restricted shares that are not vested as of the date of termination of the services. (Note 20).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2025, an external consultant was granted </w:t>
      </w:r>
      <w:bookmarkStart w:id="774" w:name="xdx_901_ecustom--OrdinarySharesOutstandi"/>
      <w:bookmarkEnd w:id="774"/>
      <w:r>
        <w:rPr>
          <w:rFonts w:ascii="Times New Roman;Times;Serif" w:hAnsi="Times New Roman;Times;Serif"/>
          <w:b w:val="false"/>
          <w:i w:val="false"/>
          <w:caps w:val="false"/>
          <w:smallCaps w:val="false"/>
          <w:sz w:val="20"/>
        </w:rPr>
        <w:t>1,800,000 restricted ordinary shares in consideration for strategic advisory services. Pursuant to the service agreement, all of the shares were issued on June 20, 2025 and are subject to a six-month lock-up restriction. The grant is subject to a two-year service period commencing on April 30, 2025, and, accordingly, the Company recognized compensation expense for eight months of the requisite service period as of December 31, 2025. On August 28, 2025, the Company and the external consultant entered into a supplemental amendment agreement, pursuant to which the service period was extended to five years, ending on April 29, 2030. (Note 20).</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F-30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775" w:name="xdx_233_z0Q2kT3NoSJj"/>
      <w:bookmarkEnd w:id="77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 2025, an employee was granted </w:t>
      </w:r>
      <w:bookmarkStart w:id="776" w:name="xdx_90F_ecustom--OrdinarySharesOutstandi"/>
      <w:bookmarkEnd w:id="776"/>
      <w:r>
        <w:rPr>
          <w:rFonts w:ascii="Times New Roman;Times;Serif" w:hAnsi="Times New Roman;Times;Serif"/>
          <w:b w:val="false"/>
          <w:i w:val="false"/>
          <w:caps w:val="false"/>
          <w:smallCaps w:val="false"/>
          <w:sz w:val="20"/>
        </w:rPr>
        <w:t>10,000 restricted ordinary shares for services related to sales expansion in certain regions of China. The restricted shares are subject to a one-year service period commencing on June 3, 2025, and vesting is conditional upon the achievement of the agreed-upon annual sales performance target. Upon issuance, the shares will be subject to a twelve-month lock-up restriction. If the employee terminates services during the vesting period, the employee will automatically forfeit the restricted shares that are not vested as of the date of termination of the services. As of June 30, 2026, the company has not issued these restricted shares to the employee. (Note 20).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16, 2025, five employees were granted </w:t>
      </w:r>
      <w:bookmarkStart w:id="777" w:name="xdx_90B_ecustom--OrdinarySharesOutstandi"/>
      <w:bookmarkEnd w:id="777"/>
      <w:r>
        <w:rPr>
          <w:rFonts w:ascii="Times New Roman;Times;Serif" w:hAnsi="Times New Roman;Times;Serif"/>
          <w:b w:val="false"/>
          <w:i w:val="false"/>
          <w:caps w:val="false"/>
          <w:smallCaps w:val="false"/>
          <w:sz w:val="20"/>
        </w:rPr>
        <w:t>631,000 restricted ordinary shares. Pursuant to the award agreements, all of the shares were issued on October 16, 2025 and are subject to a six-month lock-up restriction. The restricted shares are subject to a five-year service period commencing on October 16, 2025. (Note 20).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2025, an external consultant was granted </w:t>
      </w:r>
      <w:bookmarkStart w:id="778" w:name="xdx_901_ecustom--OrdinarySharesOutstandi"/>
      <w:bookmarkEnd w:id="778"/>
      <w:r>
        <w:rPr>
          <w:rFonts w:ascii="Times New Roman;Times;Serif" w:hAnsi="Times New Roman;Times;Serif"/>
          <w:b w:val="false"/>
          <w:i w:val="false"/>
          <w:caps w:val="false"/>
          <w:smallCaps w:val="false"/>
          <w:sz w:val="20"/>
        </w:rPr>
        <w:t xml:space="preserve">2,500,000 restricted ordinary shares in consideration for strategic advisory services. Pursuant to the service agreement, the Company shall issue </w:t>
      </w:r>
      <w:bookmarkStart w:id="779" w:name="xdx_904_eus-gaap--StockIssuedDuringPerio"/>
      <w:bookmarkEnd w:id="779"/>
      <w:r>
        <w:rPr>
          <w:rFonts w:ascii="Times New Roman;Times;Serif" w:hAnsi="Times New Roman;Times;Serif"/>
          <w:b w:val="false"/>
          <w:i w:val="false"/>
          <w:caps w:val="false"/>
          <w:smallCaps w:val="false"/>
          <w:sz w:val="20"/>
        </w:rPr>
        <w:t xml:space="preserve">500,000 restricted ordinary shares per service year to the consultant as full consideration for the services provided in that year, and pre-issuing the consideration shares corresponding to each service year in advance of the start of the service year, with six-month lock-up restrictions. The grant is subject to a five-year service period commencing on December 15, 2025. On January 15, 2026, the first </w:t>
      </w:r>
      <w:bookmarkStart w:id="780" w:name="xdx_909_eus-gaap--StockIssuedDuringPerio"/>
      <w:bookmarkEnd w:id="780"/>
      <w:r>
        <w:rPr>
          <w:rFonts w:ascii="Times New Roman;Times;Serif" w:hAnsi="Times New Roman;Times;Serif"/>
          <w:b w:val="false"/>
          <w:i w:val="false"/>
          <w:caps w:val="false"/>
          <w:smallCaps w:val="false"/>
          <w:sz w:val="20"/>
        </w:rPr>
        <w:t>500,000 shares for the first service year were issued. (Note 20).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after the Reclassification of ordinary shares on March 6, 2026, the Company had issued </w:t>
      </w:r>
      <w:bookmarkStart w:id="781" w:name="xdx_908_ecustom--ReclassificationOfOrdin"/>
      <w:bookmarkEnd w:id="781"/>
      <w:r>
        <w:rPr>
          <w:rFonts w:ascii="Times New Roman;Times;Serif" w:hAnsi="Times New Roman;Times;Serif"/>
          <w:b w:val="false"/>
          <w:i w:val="false"/>
          <w:caps w:val="false"/>
          <w:smallCaps w:val="false"/>
          <w:sz w:val="20"/>
        </w:rPr>
        <w:t xml:space="preserve">55,322,249 Class A ordinary shares and </w:t>
      </w:r>
      <w:bookmarkStart w:id="782" w:name="xdx_90A_ecustom--ReclassificationOfOrdin"/>
      <w:bookmarkEnd w:id="782"/>
      <w:r>
        <w:rPr>
          <w:rFonts w:ascii="Times New Roman;Times;Serif" w:hAnsi="Times New Roman;Times;Serif"/>
          <w:b w:val="false"/>
          <w:i w:val="false"/>
          <w:caps w:val="false"/>
          <w:smallCaps w:val="false"/>
          <w:sz w:val="20"/>
        </w:rPr>
        <w:t>9,000,000 Class B ordinary shares. Share data as of December 31, 2025 and June 30, 2026 have been retroactively restated to give effect to: i) the reorganization completed on March 28, 2023, ii) the 1-for-2 share split effective on June 19, 2023, and iii) the 1-for-3 share split effective on June 6, 2024. Additionally, the reclassification of ordinary shares has been reflected. These events are discussed in Note 1.</w:t>
      </w:r>
    </w:p>
    <w:p>
      <w:pPr>
        <w:pStyle w:val="TextBody"/>
        <w:bidi w:val="0"/>
        <w:jc w:val="both"/>
        <w:rPr>
          <w:caps w:val="false"/>
          <w:smallCaps w:val="false"/>
        </w:rPr>
      </w:pPr>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783" w:name="xdx_809_ecustom--StatutorySurplusReserve"/>
      <w:bookmarkEnd w:id="783"/>
      <w:r>
        <w:rPr>
          <w:rFonts w:ascii="Times New Roman;Times;Serif" w:hAnsi="Times New Roman;Times;Serif"/>
          <w:b/>
          <w:i w:val="false"/>
          <w:caps w:val="false"/>
          <w:smallCaps w:val="false"/>
          <w:sz w:val="20"/>
        </w:rPr>
        <w:t xml:space="preserve">16. </w:t>
      </w:r>
      <w:bookmarkStart w:id="784" w:name="xdx_82B_zviDAlJD9NB5"/>
      <w:bookmarkEnd w:id="784"/>
      <w:r>
        <w:rPr>
          <w:rFonts w:ascii="Times New Roman;Times;Serif" w:hAnsi="Times New Roman;Times;Serif"/>
          <w:b/>
          <w:i w:val="false"/>
          <w:caps w:val="false"/>
          <w:smallCaps w:val="false"/>
          <w:sz w:val="20"/>
        </w:rPr>
        <w:t>STATUTORY SURPLUS RESERVES AND RESTRICTED NET ASSETS</w:t>
      </w:r>
    </w:p>
    <w:p>
      <w:pPr>
        <w:pStyle w:val="TextBody"/>
        <w:bidi w:val="0"/>
        <w:ind w:left="647" w:right="0" w:hanging="647"/>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Statutory Surplus Reserves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laws applicable to entities incorporated in the PRC, the Company is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And as of December 31, 2025 and June 30, 2026, the Company did not have discretionary surplus reserve. As of December 31, 2025 and June 30, 2026, statutory reserve provided were US$</w:t>
      </w:r>
      <w:bookmarkStart w:id="785" w:name="xdx_907_eus-gaap--StatutoryAccountingPra"/>
      <w:bookmarkEnd w:id="785"/>
      <w:r>
        <w:rPr>
          <w:rFonts w:ascii="Times New Roman;Times;Serif" w:hAnsi="Times New Roman;Times;Serif"/>
          <w:b w:val="false"/>
          <w:i w:val="false"/>
          <w:caps w:val="false"/>
          <w:smallCaps w:val="false"/>
          <w:sz w:val="20"/>
        </w:rPr>
        <w:t>2,662,115 and US$</w:t>
      </w:r>
      <w:bookmarkStart w:id="786" w:name="xdx_905_eus-gaap--StatutoryAccountingPra"/>
      <w:bookmarkEnd w:id="786"/>
      <w:r>
        <w:rPr>
          <w:rFonts w:ascii="Times New Roman;Times;Serif" w:hAnsi="Times New Roman;Times;Serif"/>
          <w:b w:val="false"/>
          <w:i w:val="false"/>
          <w:caps w:val="false"/>
          <w:smallCaps w:val="false"/>
          <w:sz w:val="20"/>
        </w:rPr>
        <w:t>2,662,115,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Restricted Net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PRC laws and regulations and the requirement that distributions by PRC Entities can only be paid out of distributable profits computed in accordance with PRC GAAP, the PRC Entities are restricted from transferring a portion of their net assets to the Company. Amounts restricted include paid-in capital and the statutory reserves of the Company’s PRC subsidiaries. The aggregate amounts of capital and statutory reserves restricted which represented the amount of net assets of the relevant subsidiaries in the Company not available for distribution was RMB</w:t>
      </w:r>
      <w:bookmarkStart w:id="787" w:name="xdx_901_ecustom--StatutoryReserves_iI_uR"/>
      <w:bookmarkEnd w:id="787"/>
      <w:r>
        <w:rPr>
          <w:rFonts w:ascii="Times New Roman;Times;Serif" w:hAnsi="Times New Roman;Times;Serif"/>
          <w:b w:val="false"/>
          <w:i w:val="false"/>
          <w:caps w:val="false"/>
          <w:smallCaps w:val="false"/>
          <w:sz w:val="20"/>
        </w:rPr>
        <w:t>26,024,443 (equivalent to US$</w:t>
      </w:r>
      <w:bookmarkStart w:id="788" w:name="xdx_90B_ecustom--StatutoryReserves_iI_uU"/>
      <w:bookmarkEnd w:id="788"/>
      <w:r>
        <w:rPr>
          <w:rFonts w:ascii="Times New Roman;Times;Serif" w:hAnsi="Times New Roman;Times;Serif"/>
          <w:b w:val="false"/>
          <w:i w:val="false"/>
          <w:caps w:val="false"/>
          <w:smallCaps w:val="false"/>
          <w:sz w:val="20"/>
        </w:rPr>
        <w:t>3,704,056) and RMB</w:t>
      </w:r>
      <w:bookmarkStart w:id="789" w:name="xdx_90F_ecustom--StatutoryReserves_iI_uR"/>
      <w:bookmarkEnd w:id="789"/>
      <w:r>
        <w:rPr>
          <w:rFonts w:ascii="Times New Roman;Times;Serif" w:hAnsi="Times New Roman;Times;Serif"/>
          <w:b w:val="false"/>
          <w:i w:val="false"/>
          <w:caps w:val="false"/>
          <w:smallCaps w:val="false"/>
          <w:sz w:val="20"/>
        </w:rPr>
        <w:t>26,836,647 (equivalent to US$</w:t>
      </w:r>
      <w:bookmarkStart w:id="790" w:name="xdx_900_ecustom--StatutoryReserves_iI_uU"/>
      <w:bookmarkEnd w:id="790"/>
      <w:r>
        <w:rPr>
          <w:rFonts w:ascii="Times New Roman;Times;Serif" w:hAnsi="Times New Roman;Times;Serif"/>
          <w:b w:val="false"/>
          <w:i w:val="false"/>
          <w:caps w:val="false"/>
          <w:smallCaps w:val="false"/>
          <w:sz w:val="20"/>
        </w:rPr>
        <w:t>3,822,201) as of December 31, 2025 and June 30, 2026,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laws and regulations, statutory surplus reserves are restricted to set-off against losses, expansion of production and operation and increasing registered capital of the respective company and are not distributable other than upon liquidation. The reserves are not allowed to be transferred to the Company in terms of cash dividends, loans or advances, nor allowed for distribution except under liquidation.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declared by the Company are based on the distributable profits as reported in its statutory financial statements reported in accordance with PRC GAAP, which may differ from the results of operations reflected in the unaudited condensed consolidated financial statements prepared in accordance with U.S. GAAP. The Company’s ability to pay dividends is primarily from cash received from its operating activities in the PRC. For the six months ended June 30, 2025 and 2026, no dividends were declared or paid by the Company.</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F-31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791" w:name="xdx_23A_zDhjpbwFtZm6"/>
      <w:bookmarkEnd w:id="791"/>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792" w:name="xdx_80B_eus-gaap--RelatedPartyTransactio"/>
      <w:bookmarkEnd w:id="792"/>
      <w:r>
        <w:rPr>
          <w:rFonts w:ascii="Times New Roman;Times;Serif" w:hAnsi="Times New Roman;Times;Serif"/>
          <w:b/>
          <w:i w:val="false"/>
          <w:caps w:val="false"/>
          <w:smallCaps w:val="false"/>
          <w:sz w:val="20"/>
        </w:rPr>
        <w:t xml:space="preserve">17. </w:t>
      </w:r>
      <w:bookmarkStart w:id="793" w:name="xdx_826_zUDHhgCXZa5a"/>
      <w:bookmarkEnd w:id="793"/>
      <w:r>
        <w:rPr>
          <w:rFonts w:ascii="Times New Roman;Times;Serif" w:hAnsi="Times New Roman;Times;Serif"/>
          <w:b/>
          <w:i w:val="false"/>
          <w:caps w:val="false"/>
          <w:smallCaps w:val="false"/>
          <w:sz w:val="20"/>
        </w:rPr>
        <w:t>RELATED PARTY TRANSACTIONS</w:t>
      </w:r>
    </w:p>
    <w:p>
      <w:pPr>
        <w:pStyle w:val="TextBody"/>
        <w:bidi w:val="0"/>
        <w:ind w:left="647" w:right="0" w:hanging="647"/>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94" w:name="xdx_891_esrt--SummaryOfInvestmentsOtherT"/>
      <w:bookmarkStart w:id="795" w:name="xdx_891_esrt--SummaryOfInvestmentsOtherT"/>
      <w:bookmarkEnd w:id="795"/>
    </w:p>
    <w:tbl>
      <w:tblPr>
        <w:tblW w:w="9595" w:type="dxa"/>
        <w:jc w:val="left"/>
        <w:tblInd w:w="-10" w:type="dxa"/>
        <w:tblLayout w:type="fixed"/>
        <w:tblCellMar>
          <w:top w:w="0" w:type="dxa"/>
          <w:left w:w="28" w:type="dxa"/>
          <w:bottom w:w="0" w:type="dxa"/>
          <w:right w:w="28" w:type="dxa"/>
        </w:tblCellMar>
      </w:tblPr>
      <w:tblGrid>
        <w:gridCol w:w="4505"/>
        <w:gridCol w:w="5090"/>
      </w:tblGrid>
      <w:tr>
        <w:trPr/>
        <w:tc>
          <w:tcPr>
            <w:tcW w:w="4505" w:type="dxa"/>
            <w:tcBorders>
              <w:left w:val="single" w:sz="8" w:space="0" w:color="000000"/>
              <w:right w:val="single" w:sz="8" w:space="0" w:color="000000"/>
            </w:tcBorders>
            <w:shd w:fill="FFFFFF" w:val="clear"/>
            <w:vAlign w:val="center"/>
          </w:tcPr>
          <w:p>
            <w:pPr>
              <w:pStyle w:val="TableContents"/>
              <w:bidi w:val="0"/>
              <w:spacing w:before="0" w:after="283"/>
              <w:jc w:val="both"/>
              <w:rPr/>
            </w:pPr>
            <w:bookmarkStart w:id="796" w:name="xdx_8BD_zoEEgksDIBR8"/>
            <w:bookmarkEnd w:id="796"/>
            <w:r>
              <w:rPr/>
              <w:t xml:space="preserve">Schedule of Related parties </w:t>
            </w:r>
          </w:p>
        </w:tc>
        <w:tc>
          <w:tcPr>
            <w:tcW w:w="5090" w:type="dxa"/>
            <w:tcBorders>
              <w:right w:val="single" w:sz="8" w:space="0" w:color="000000"/>
            </w:tcBorders>
            <w:shd w:fill="FFFFFF" w:val="clear"/>
            <w:tcMar>
              <w:left w:w="0" w:type="dxa"/>
            </w:tcMar>
            <w:vAlign w:val="center"/>
          </w:tcPr>
          <w:p>
            <w:pPr>
              <w:pStyle w:val="TableContents"/>
              <w:bidi w:val="0"/>
              <w:spacing w:before="0" w:after="283"/>
              <w:jc w:val="both"/>
              <w:rPr/>
            </w:pPr>
            <w:r>
              <w:rPr/>
              <w:t> </w:t>
            </w:r>
          </w:p>
        </w:tc>
      </w:tr>
      <w:tr>
        <w:trPr/>
        <w:tc>
          <w:tcPr>
            <w:tcW w:w="4505" w:type="dxa"/>
            <w:tcBorders>
              <w:top w:val="single" w:sz="8" w:space="0" w:color="000000"/>
              <w:left w:val="single" w:sz="8" w:space="0" w:color="000000"/>
              <w:bottom w:val="single" w:sz="8" w:space="0" w:color="000000"/>
              <w:right w:val="single" w:sz="8" w:space="0" w:color="000000"/>
            </w:tcBorders>
            <w:tcMar>
              <w:top w:w="28" w:type="dxa"/>
              <w:bottom w:w="28" w:type="dxa"/>
            </w:tcMar>
            <w:vAlign w:val="center"/>
          </w:tcPr>
          <w:p>
            <w:pPr>
              <w:pStyle w:val="TableContents"/>
              <w:bidi w:val="0"/>
              <w:spacing w:before="0" w:after="283"/>
              <w:jc w:val="both"/>
              <w:rPr>
                <w:b/>
                <w:sz w:val="20"/>
              </w:rPr>
            </w:pPr>
            <w:r>
              <w:rPr>
                <w:b/>
                <w:sz w:val="20"/>
              </w:rPr>
              <w:t>Name of related parties</w:t>
            </w:r>
          </w:p>
        </w:tc>
        <w:tc>
          <w:tcPr>
            <w:tcW w:w="5090" w:type="dxa"/>
            <w:tcBorders>
              <w:top w:val="single" w:sz="8" w:space="0" w:color="000000"/>
              <w:bottom w:val="single" w:sz="8" w:space="0" w:color="000000"/>
              <w:right w:val="single" w:sz="8" w:space="0" w:color="000000"/>
            </w:tcBorders>
            <w:tcMar>
              <w:top w:w="28" w:type="dxa"/>
              <w:left w:w="0" w:type="dxa"/>
              <w:bottom w:w="28" w:type="dxa"/>
            </w:tcMar>
            <w:vAlign w:val="center"/>
          </w:tcPr>
          <w:p>
            <w:pPr>
              <w:pStyle w:val="TableContents"/>
              <w:bidi w:val="0"/>
              <w:spacing w:before="0" w:after="283"/>
              <w:jc w:val="both"/>
              <w:rPr>
                <w:b/>
                <w:sz w:val="20"/>
              </w:rPr>
            </w:pPr>
            <w:r>
              <w:rPr>
                <w:b/>
                <w:sz w:val="20"/>
              </w:rPr>
              <w:t>Relationship with the Company</w:t>
            </w:r>
          </w:p>
        </w:tc>
      </w:tr>
      <w:tr>
        <w:trPr/>
        <w:tc>
          <w:tcPr>
            <w:tcW w:w="4505"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PSM-ZJK</w:t>
            </w:r>
            <w:bookmarkStart w:id="797" w:name="xdx_987_ecustom--RelationshipWithCompany"/>
            <w:bookmarkEnd w:id="797"/>
          </w:p>
        </w:tc>
        <w:tc>
          <w:tcPr>
            <w:tcW w:w="509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 xml:space="preserve">An equity investee of the Zhongjinke Shenzhen </w:t>
            </w:r>
          </w:p>
        </w:tc>
      </w:tr>
      <w:tr>
        <w:trPr/>
        <w:tc>
          <w:tcPr>
            <w:tcW w:w="4505" w:type="dxa"/>
            <w:tcBorders>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both"/>
              <w:rPr>
                <w:sz w:val="20"/>
              </w:rPr>
            </w:pPr>
            <w:r>
              <w:rPr>
                <w:sz w:val="20"/>
              </w:rPr>
              <w:t>ZhongJinKe Fastener CO.,Ltd</w:t>
            </w:r>
            <w:bookmarkStart w:id="798" w:name="xdx_982_ecustom--RelationshipWithCompany"/>
            <w:bookmarkEnd w:id="798"/>
          </w:p>
        </w:tc>
        <w:tc>
          <w:tcPr>
            <w:tcW w:w="5090"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both"/>
              <w:rPr>
                <w:sz w:val="20"/>
              </w:rPr>
            </w:pPr>
            <w:r>
              <w:rPr>
                <w:sz w:val="20"/>
              </w:rPr>
              <w:t>Controlled by Jieke Zhu</w:t>
            </w:r>
          </w:p>
        </w:tc>
      </w:tr>
      <w:tr>
        <w:trPr/>
        <w:tc>
          <w:tcPr>
            <w:tcW w:w="4505"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Shenzhen Qianhaishi Micro Science Co., Ltd</w:t>
            </w:r>
            <w:bookmarkStart w:id="799" w:name="xdx_98D_ecustom--RelationshipWithCompany"/>
            <w:bookmarkEnd w:id="799"/>
          </w:p>
        </w:tc>
        <w:tc>
          <w:tcPr>
            <w:tcW w:w="509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Controlled by Kai Huang</w:t>
            </w:r>
          </w:p>
        </w:tc>
      </w:tr>
      <w:tr>
        <w:trPr/>
        <w:tc>
          <w:tcPr>
            <w:tcW w:w="4505" w:type="dxa"/>
            <w:tcBorders>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both"/>
              <w:rPr>
                <w:sz w:val="20"/>
              </w:rPr>
            </w:pPr>
            <w:r>
              <w:rPr>
                <w:sz w:val="20"/>
              </w:rPr>
              <w:t>Ning Ding</w:t>
            </w:r>
            <w:bookmarkStart w:id="800" w:name="xdx_986_ecustom--RelationshipWithCompany"/>
            <w:bookmarkEnd w:id="800"/>
          </w:p>
        </w:tc>
        <w:tc>
          <w:tcPr>
            <w:tcW w:w="5090"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both"/>
              <w:rPr>
                <w:sz w:val="20"/>
              </w:rPr>
            </w:pPr>
            <w:r>
              <w:rPr>
                <w:sz w:val="20"/>
              </w:rPr>
              <w:t>Chief Executive Officer and a Director of the Company</w:t>
            </w:r>
          </w:p>
        </w:tc>
      </w:tr>
      <w:tr>
        <w:trPr/>
        <w:tc>
          <w:tcPr>
            <w:tcW w:w="4505"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Kai Huang</w:t>
            </w:r>
            <w:bookmarkStart w:id="801" w:name="xdx_98C_ecustom--RelationshipWithCompany"/>
            <w:bookmarkEnd w:id="801"/>
          </w:p>
        </w:tc>
        <w:tc>
          <w:tcPr>
            <w:tcW w:w="509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A Director of the Company and Former Chief Financial Officer</w:t>
            </w:r>
          </w:p>
        </w:tc>
      </w:tr>
      <w:tr>
        <w:trPr/>
        <w:tc>
          <w:tcPr>
            <w:tcW w:w="4505" w:type="dxa"/>
            <w:tcBorders>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both"/>
              <w:rPr>
                <w:sz w:val="20"/>
              </w:rPr>
            </w:pPr>
            <w:r>
              <w:rPr>
                <w:sz w:val="20"/>
              </w:rPr>
              <w:t>Kai Ding</w:t>
            </w:r>
            <w:bookmarkStart w:id="802" w:name="xdx_987_ecustom--RelationshipWithCompany"/>
            <w:bookmarkEnd w:id="802"/>
          </w:p>
        </w:tc>
        <w:tc>
          <w:tcPr>
            <w:tcW w:w="5090"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Dongxin Zhou</w:t>
            </w:r>
            <w:bookmarkStart w:id="803" w:name="xdx_98F_ecustom--RelationshipWithCompany"/>
            <w:bookmarkEnd w:id="803"/>
          </w:p>
        </w:tc>
        <w:tc>
          <w:tcPr>
            <w:tcW w:w="509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both"/>
              <w:rPr>
                <w:sz w:val="20"/>
              </w:rPr>
            </w:pPr>
            <w:r>
              <w:rPr>
                <w:sz w:val="20"/>
              </w:rPr>
              <w:t>Jieke Zhu</w:t>
            </w:r>
            <w:bookmarkStart w:id="804" w:name="xdx_98E_ecustom--RelationshipWithCompany"/>
            <w:bookmarkEnd w:id="804"/>
          </w:p>
        </w:tc>
        <w:tc>
          <w:tcPr>
            <w:tcW w:w="5090"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Minghui Zhu</w:t>
            </w:r>
            <w:bookmarkStart w:id="805" w:name="xdx_983_ecustom--RelationshipWithCompany"/>
            <w:bookmarkEnd w:id="805"/>
          </w:p>
        </w:tc>
        <w:tc>
          <w:tcPr>
            <w:tcW w:w="509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Father of Jieke Zhu</w:t>
            </w:r>
          </w:p>
        </w:tc>
      </w:tr>
      <w:tr>
        <w:trPr/>
        <w:tc>
          <w:tcPr>
            <w:tcW w:w="4505" w:type="dxa"/>
            <w:tcBorders>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both"/>
              <w:rPr>
                <w:sz w:val="20"/>
              </w:rPr>
            </w:pPr>
            <w:r>
              <w:rPr>
                <w:sz w:val="20"/>
              </w:rPr>
              <w:t>Huiming Liu</w:t>
            </w:r>
            <w:bookmarkStart w:id="806" w:name="xdx_982_ecustom--RelationshipWithCompany"/>
            <w:bookmarkEnd w:id="806"/>
          </w:p>
        </w:tc>
        <w:tc>
          <w:tcPr>
            <w:tcW w:w="5090"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Chaoyong Xu</w:t>
            </w:r>
            <w:bookmarkStart w:id="807" w:name="xdx_98A_ecustom--RelationshipWithCompany"/>
            <w:bookmarkEnd w:id="807"/>
          </w:p>
        </w:tc>
        <w:tc>
          <w:tcPr>
            <w:tcW w:w="509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both"/>
              <w:rPr>
                <w:sz w:val="20"/>
              </w:rPr>
            </w:pPr>
            <w:r>
              <w:rPr>
                <w:sz w:val="20"/>
              </w:rPr>
              <w:t>Qianrui Ding</w:t>
            </w:r>
            <w:bookmarkStart w:id="808" w:name="xdx_98F_ecustom--RelationshipWithCompany"/>
            <w:bookmarkEnd w:id="808"/>
          </w:p>
        </w:tc>
        <w:tc>
          <w:tcPr>
            <w:tcW w:w="5090"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both"/>
              <w:rPr>
                <w:sz w:val="20"/>
              </w:rPr>
            </w:pPr>
            <w:r>
              <w:rPr>
                <w:sz w:val="20"/>
              </w:rPr>
              <w:t>Daughter of Ning Ding</w:t>
            </w:r>
          </w:p>
        </w:tc>
      </w:tr>
      <w:tr>
        <w:trPr/>
        <w:tc>
          <w:tcPr>
            <w:tcW w:w="4505"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Baozhen Zhu</w:t>
            </w:r>
            <w:bookmarkStart w:id="809" w:name="xdx_986_ecustom--RelationshipWithCompany"/>
            <w:bookmarkEnd w:id="809"/>
          </w:p>
        </w:tc>
        <w:tc>
          <w:tcPr>
            <w:tcW w:w="509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Wife of Ning Ding</w:t>
            </w:r>
          </w:p>
        </w:tc>
      </w:tr>
      <w:tr>
        <w:trPr/>
        <w:tc>
          <w:tcPr>
            <w:tcW w:w="4505" w:type="dxa"/>
            <w:tcBorders>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both"/>
              <w:rPr>
                <w:sz w:val="20"/>
              </w:rPr>
            </w:pPr>
            <w:r>
              <w:rPr>
                <w:sz w:val="20"/>
              </w:rPr>
              <w:t>Meigui Zeng</w:t>
            </w:r>
            <w:bookmarkStart w:id="810" w:name="xdx_989_ecustom--RelationshipWithCompany"/>
            <w:bookmarkEnd w:id="810"/>
          </w:p>
        </w:tc>
        <w:tc>
          <w:tcPr>
            <w:tcW w:w="5090"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both"/>
              <w:rPr>
                <w:sz w:val="20"/>
              </w:rPr>
            </w:pPr>
            <w:r>
              <w:rPr>
                <w:sz w:val="20"/>
              </w:rPr>
              <w:t>Wife of Huiming Liu</w:t>
            </w:r>
          </w:p>
        </w:tc>
      </w:tr>
      <w:tr>
        <w:trPr/>
        <w:tc>
          <w:tcPr>
            <w:tcW w:w="4505"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DNR TECHNOLOGY CO., LTD.</w:t>
            </w:r>
            <w:bookmarkStart w:id="811" w:name="xdx_988_ecustom--RelationshipWithCompany"/>
            <w:bookmarkEnd w:id="811"/>
          </w:p>
        </w:tc>
        <w:tc>
          <w:tcPr>
            <w:tcW w:w="509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both"/>
              <w:rPr>
                <w:sz w:val="20"/>
              </w:rPr>
            </w:pPr>
            <w:r>
              <w:rPr>
                <w:sz w:val="20"/>
              </w:rPr>
              <w:t>NEWMICRO HOLDING LIMITED</w:t>
            </w:r>
            <w:bookmarkStart w:id="812" w:name="xdx_98D_ecustom--RelationshipWithCompany"/>
            <w:bookmarkEnd w:id="812"/>
          </w:p>
        </w:tc>
        <w:tc>
          <w:tcPr>
            <w:tcW w:w="5090"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JINSHAN INTERNATIONAL INVESTMENT CO.,LTD.</w:t>
            </w:r>
            <w:bookmarkStart w:id="813" w:name="xdx_989_ecustom--RelationshipWithCompany"/>
            <w:bookmarkEnd w:id="813"/>
          </w:p>
        </w:tc>
        <w:tc>
          <w:tcPr>
            <w:tcW w:w="509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both"/>
              <w:rPr>
                <w:sz w:val="20"/>
              </w:rPr>
            </w:pPr>
            <w:r>
              <w:rPr>
                <w:sz w:val="20"/>
              </w:rPr>
              <w:t>KKD HOLDING LIMITED.</w:t>
            </w:r>
            <w:bookmarkStart w:id="814" w:name="xdx_983_ecustom--RelationshipWithCompany"/>
            <w:bookmarkEnd w:id="814"/>
          </w:p>
        </w:tc>
        <w:tc>
          <w:tcPr>
            <w:tcW w:w="5090"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both"/>
              <w:rPr>
                <w:sz w:val="20"/>
              </w:rPr>
            </w:pPr>
            <w:r>
              <w:rPr>
                <w:sz w:val="20"/>
              </w:rPr>
              <w:t>A shareholder of the Company</w:t>
            </w:r>
          </w:p>
        </w:tc>
      </w:tr>
      <w:tr>
        <w:trPr/>
        <w:tc>
          <w:tcPr>
            <w:tcW w:w="4505" w:type="dxa"/>
            <w:tcBorders>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both"/>
              <w:rPr>
                <w:sz w:val="20"/>
              </w:rPr>
            </w:pPr>
            <w:r>
              <w:rPr>
                <w:sz w:val="20"/>
              </w:rPr>
              <w:t>VIMISCI HOLDING LIMITED</w:t>
            </w:r>
            <w:bookmarkStart w:id="815" w:name="xdx_989_ecustom--RelationshipWithCompany"/>
            <w:bookmarkEnd w:id="815"/>
          </w:p>
        </w:tc>
        <w:tc>
          <w:tcPr>
            <w:tcW w:w="5090" w:type="dxa"/>
            <w:tcBorders>
              <w:bottom w:val="single" w:sz="8" w:space="0" w:color="000000"/>
              <w:right w:val="single" w:sz="8" w:space="0" w:color="000000"/>
            </w:tcBorders>
            <w:shd w:fill="CCEEFF" w:val="clear"/>
            <w:tcMar>
              <w:left w:w="0" w:type="dxa"/>
              <w:bottom w:w="28" w:type="dxa"/>
            </w:tcMar>
            <w:vAlign w:val="center"/>
          </w:tcPr>
          <w:p>
            <w:pPr>
              <w:pStyle w:val="TableContents"/>
              <w:bidi w:val="0"/>
              <w:spacing w:before="0" w:after="283"/>
              <w:jc w:val="both"/>
              <w:rPr>
                <w:sz w:val="20"/>
              </w:rPr>
            </w:pPr>
            <w:r>
              <w:rPr>
                <w:sz w:val="20"/>
              </w:rPr>
              <w:t>A shareholder of the Company</w:t>
            </w:r>
          </w:p>
        </w:tc>
      </w:tr>
    </w:tbl>
    <w:p>
      <w:pPr>
        <w:pStyle w:val="TextBody"/>
        <w:bidi w:val="0"/>
        <w:jc w:val="both"/>
        <w:rPr>
          <w:caps w:val="false"/>
          <w:smallCaps w:val="false"/>
        </w:rPr>
      </w:pPr>
      <w:bookmarkStart w:id="816" w:name="xdx_8A2_zV812PYDwmNh"/>
      <w:bookmarkEnd w:id="816"/>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 Related party balances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receivable-due from a related party:</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17" w:name="xdx_892_ecustom--ScheduleOfAccountsRecei"/>
      <w:bookmarkStart w:id="818" w:name="xdx_892_ecustom--ScheduleOfAccountsRecei"/>
      <w:bookmarkEnd w:id="818"/>
    </w:p>
    <w:tbl>
      <w:tblPr>
        <w:tblW w:w="8967" w:type="dxa"/>
        <w:jc w:val="left"/>
        <w:tblInd w:w="0" w:type="dxa"/>
        <w:tblLayout w:type="fixed"/>
        <w:tblCellMar>
          <w:top w:w="0" w:type="dxa"/>
          <w:left w:w="0" w:type="dxa"/>
          <w:bottom w:w="0" w:type="dxa"/>
          <w:right w:w="0" w:type="dxa"/>
        </w:tblCellMar>
      </w:tblPr>
      <w:tblGrid>
        <w:gridCol w:w="5465"/>
        <w:gridCol w:w="60"/>
        <w:gridCol w:w="96"/>
        <w:gridCol w:w="1762"/>
        <w:gridCol w:w="96"/>
        <w:gridCol w:w="60"/>
        <w:gridCol w:w="76"/>
        <w:gridCol w:w="1256"/>
        <w:gridCol w:w="96"/>
      </w:tblGrid>
      <w:tr>
        <w:trPr/>
        <w:tc>
          <w:tcPr>
            <w:tcW w:w="5465" w:type="dxa"/>
            <w:tcBorders/>
            <w:vAlign w:val="center"/>
          </w:tcPr>
          <w:p>
            <w:pPr>
              <w:pStyle w:val="TableContents"/>
              <w:bidi w:val="0"/>
              <w:spacing w:before="0" w:after="283"/>
              <w:ind w:left="0" w:right="0" w:hanging="200"/>
              <w:jc w:val="center"/>
              <w:rPr/>
            </w:pPr>
            <w:bookmarkStart w:id="819" w:name="xdx_8B1_zXWgrzrDRbCl"/>
            <w:bookmarkEnd w:id="819"/>
            <w:r>
              <w:rPr/>
              <w:t>Schedule of Accounts receivable-due from a related party</w:t>
            </w:r>
          </w:p>
        </w:tc>
        <w:tc>
          <w:tcPr>
            <w:tcW w:w="60"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pPr>
            <w:r>
              <w:rPr/>
              <w:t> </w:t>
            </w:r>
          </w:p>
        </w:tc>
      </w:tr>
      <w:tr>
        <w:trPr/>
        <w:tc>
          <w:tcPr>
            <w:tcW w:w="5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42"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5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428"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5465" w:type="dxa"/>
            <w:tcBorders/>
            <w:vAlign w:val="center"/>
          </w:tcPr>
          <w:p>
            <w:pPr>
              <w:pStyle w:val="TableContents"/>
              <w:bidi w:val="0"/>
              <w:spacing w:before="0" w:after="283"/>
              <w:jc w:val="left"/>
              <w:rPr>
                <w:b/>
              </w:rPr>
            </w:pPr>
            <w:r>
              <w:rPr>
                <w:b/>
              </w:rPr>
              <w:t>Name of related party</w:t>
            </w:r>
          </w:p>
        </w:tc>
        <w:tc>
          <w:tcPr>
            <w:tcW w:w="60"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$US</w:t>
            </w:r>
          </w:p>
        </w:tc>
      </w:tr>
      <w:tr>
        <w:trPr/>
        <w:tc>
          <w:tcPr>
            <w:tcW w:w="5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200"/>
              <w:jc w:val="center"/>
              <w:rPr>
                <w:b/>
              </w:rPr>
            </w:pPr>
            <w:r>
              <w:rPr>
                <w:b/>
              </w:rPr>
              <w:t>(Unaudited)</w:t>
            </w:r>
          </w:p>
        </w:tc>
      </w:tr>
      <w:tr>
        <w:trPr/>
        <w:tc>
          <w:tcPr>
            <w:tcW w:w="5465" w:type="dxa"/>
            <w:tcBorders/>
            <w:shd w:fill="CCEEFF" w:val="clear"/>
            <w:vAlign w:val="center"/>
          </w:tcPr>
          <w:p>
            <w:pPr>
              <w:pStyle w:val="TableContents"/>
              <w:bidi w:val="0"/>
              <w:spacing w:before="0" w:after="283"/>
              <w:jc w:val="left"/>
              <w:rPr/>
            </w:pPr>
            <w:r>
              <w:rPr/>
              <w:t>PSM ZJK</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20" w:name="xdx_98D_ecustom--AccountsReceivabledueFr"/>
            <w:bookmarkEnd w:id="820"/>
          </w:p>
        </w:tc>
        <w:tc>
          <w:tcPr>
            <w:tcW w:w="1762" w:type="dxa"/>
            <w:tcBorders>
              <w:bottom w:val="single" w:sz="8" w:space="0" w:color="000000"/>
            </w:tcBorders>
            <w:shd w:fill="CCEEFF" w:val="clear"/>
            <w:tcMar>
              <w:bottom w:w="28" w:type="dxa"/>
            </w:tcMar>
            <w:vAlign w:val="center"/>
          </w:tcPr>
          <w:p>
            <w:pPr>
              <w:pStyle w:val="TableContents"/>
              <w:bidi w:val="0"/>
              <w:spacing w:before="0" w:after="283"/>
              <w:jc w:val="right"/>
              <w:rPr/>
            </w:pPr>
            <w:r>
              <w:rPr/>
              <w:t>11,227,799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21" w:name="xdx_98D_ecustom--AccountsReceivabledueFr"/>
            <w:bookmarkEnd w:id="821"/>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pPr>
            <w:r>
              <w:rPr/>
              <w:t>8,498,381</w:t>
            </w:r>
          </w:p>
        </w:tc>
        <w:tc>
          <w:tcPr>
            <w:tcW w:w="96"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22" w:name="xdx_982_ecustom--AccountsReceivabledueFr"/>
            <w:bookmarkEnd w:id="822"/>
          </w:p>
        </w:tc>
        <w:tc>
          <w:tcPr>
            <w:tcW w:w="176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11,227,799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23" w:name="xdx_98E_ecustom--AccountsReceivabledueFr"/>
            <w:bookmarkEnd w:id="823"/>
          </w:p>
        </w:tc>
        <w:tc>
          <w:tcPr>
            <w:tcW w:w="12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8,498,381</w:t>
            </w:r>
          </w:p>
        </w:tc>
        <w:tc>
          <w:tcPr>
            <w:tcW w:w="96"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824" w:name="xdx_8A7_zffItArCUfS4"/>
      <w:bookmarkEnd w:id="82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F-32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825" w:name="xdx_23C_z5csuYym2jKg"/>
      <w:bookmarkEnd w:id="825"/>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receivables-due from related parties: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26" w:name="xdx_89F_ecustom--ScheduleOfOtherReceivab"/>
      <w:bookmarkStart w:id="827" w:name="xdx_89F_ecustom--ScheduleOfOtherReceivab"/>
      <w:bookmarkEnd w:id="827"/>
    </w:p>
    <w:tbl>
      <w:tblPr>
        <w:tblW w:w="10205" w:type="dxa"/>
        <w:jc w:val="left"/>
        <w:tblInd w:w="0" w:type="dxa"/>
        <w:tblLayout w:type="fixed"/>
        <w:tblCellMar>
          <w:top w:w="0" w:type="dxa"/>
          <w:left w:w="0" w:type="dxa"/>
          <w:bottom w:w="0" w:type="dxa"/>
          <w:right w:w="0" w:type="dxa"/>
        </w:tblCellMar>
      </w:tblPr>
      <w:tblGrid>
        <w:gridCol w:w="4358"/>
        <w:gridCol w:w="60"/>
        <w:gridCol w:w="2793"/>
        <w:gridCol w:w="60"/>
        <w:gridCol w:w="103"/>
        <w:gridCol w:w="1400"/>
        <w:gridCol w:w="106"/>
        <w:gridCol w:w="60"/>
        <w:gridCol w:w="123"/>
        <w:gridCol w:w="1014"/>
        <w:gridCol w:w="128"/>
      </w:tblGrid>
      <w:tr>
        <w:trPr/>
        <w:tc>
          <w:tcPr>
            <w:tcW w:w="4358" w:type="dxa"/>
            <w:tcBorders/>
            <w:shd w:fill="FFFFFF" w:val="clear"/>
            <w:vAlign w:val="center"/>
          </w:tcPr>
          <w:p>
            <w:pPr>
              <w:pStyle w:val="TableContents"/>
              <w:bidi w:val="0"/>
              <w:spacing w:before="0" w:after="283"/>
              <w:ind w:left="0" w:right="0" w:hanging="200"/>
              <w:jc w:val="left"/>
              <w:rPr/>
            </w:pPr>
            <w:bookmarkStart w:id="828" w:name="xdx_8BD_z01pqku4FI49"/>
            <w:bookmarkEnd w:id="828"/>
            <w:r>
              <w:rPr/>
              <w:t>Schedule of Other receivables-due from related parties</w:t>
            </w:r>
          </w:p>
        </w:tc>
        <w:tc>
          <w:tcPr>
            <w:tcW w:w="60" w:type="dxa"/>
            <w:tcBorders/>
            <w:shd w:fill="FFFFFF" w:val="clear"/>
            <w:vAlign w:val="center"/>
          </w:tcPr>
          <w:p>
            <w:pPr>
              <w:pStyle w:val="TableContents"/>
              <w:bidi w:val="0"/>
              <w:spacing w:before="0" w:after="283"/>
              <w:jc w:val="left"/>
              <w:rPr/>
            </w:pPr>
            <w:r>
              <w:rPr/>
              <w:t> </w:t>
            </w:r>
          </w:p>
        </w:tc>
        <w:tc>
          <w:tcPr>
            <w:tcW w:w="27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ind w:left="0" w:right="0" w:hanging="200"/>
              <w:jc w:val="left"/>
              <w:rPr/>
            </w:pPr>
            <w:r>
              <w:rPr/>
              <w:t> </w:t>
            </w:r>
          </w:p>
        </w:tc>
      </w:tr>
      <w:tr>
        <w:trPr/>
        <w:tc>
          <w:tcPr>
            <w:tcW w:w="43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34"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43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0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26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43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09"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65" w:type="dxa"/>
            <w:gridSpan w:val="3"/>
            <w:tcBorders/>
            <w:vAlign w:val="center"/>
          </w:tcPr>
          <w:p>
            <w:pPr>
              <w:pStyle w:val="TableContents"/>
              <w:bidi w:val="0"/>
              <w:spacing w:before="0" w:after="283"/>
              <w:ind w:left="0" w:right="0" w:hanging="200"/>
              <w:jc w:val="center"/>
              <w:rPr>
                <w:b/>
              </w:rPr>
            </w:pPr>
            <w:r>
              <w:rPr>
                <w:b/>
              </w:rPr>
              <w:t>$US</w:t>
            </w:r>
          </w:p>
        </w:tc>
      </w:tr>
      <w:tr>
        <w:trPr/>
        <w:tc>
          <w:tcPr>
            <w:tcW w:w="43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09"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3"/>
            <w:tcBorders/>
            <w:vAlign w:val="center"/>
          </w:tcPr>
          <w:p>
            <w:pPr>
              <w:pStyle w:val="TableContents"/>
              <w:bidi w:val="0"/>
              <w:spacing w:before="0" w:after="283"/>
              <w:ind w:left="0" w:right="0" w:hanging="200"/>
              <w:jc w:val="center"/>
              <w:rPr>
                <w:b/>
              </w:rPr>
            </w:pPr>
            <w:r>
              <w:rPr>
                <w:b/>
              </w:rPr>
              <w:t>(Unaudited)</w:t>
            </w:r>
          </w:p>
        </w:tc>
      </w:tr>
      <w:tr>
        <w:trPr/>
        <w:tc>
          <w:tcPr>
            <w:tcW w:w="4358" w:type="dxa"/>
            <w:tcBorders/>
            <w:vAlign w:val="center"/>
          </w:tcPr>
          <w:p>
            <w:pPr>
              <w:pStyle w:val="TableContents"/>
              <w:bidi w:val="0"/>
              <w:spacing w:before="0" w:after="283"/>
              <w:jc w:val="left"/>
              <w:rPr>
                <w:b/>
              </w:rPr>
            </w:pPr>
            <w:r>
              <w:rPr>
                <w:b/>
              </w:rPr>
              <w:t>Name of related parties</w:t>
            </w:r>
          </w:p>
        </w:tc>
        <w:tc>
          <w:tcPr>
            <w:tcW w:w="60"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283"/>
              <w:jc w:val="center"/>
              <w:rPr>
                <w:b/>
              </w:rPr>
            </w:pPr>
            <w:r>
              <w:rPr>
                <w:b/>
              </w:rPr>
              <w:t>Nature</w:t>
            </w:r>
          </w:p>
        </w:tc>
        <w:tc>
          <w:tcPr>
            <w:tcW w:w="60" w:type="dxa"/>
            <w:tcBorders/>
            <w:vAlign w:val="center"/>
          </w:tcPr>
          <w:p>
            <w:pPr>
              <w:pStyle w:val="TableContents"/>
              <w:bidi w:val="0"/>
              <w:spacing w:before="0" w:after="283"/>
              <w:jc w:val="left"/>
              <w:rPr/>
            </w:pPr>
            <w:r>
              <w:rPr/>
              <w:t> </w:t>
            </w:r>
          </w:p>
        </w:tc>
        <w:tc>
          <w:tcPr>
            <w:tcW w:w="1609"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3"/>
            <w:tcBorders/>
            <w:vAlign w:val="center"/>
          </w:tcPr>
          <w:p>
            <w:pPr>
              <w:pStyle w:val="TableContents"/>
              <w:bidi w:val="0"/>
              <w:spacing w:before="0" w:after="283"/>
              <w:ind w:left="0" w:right="0" w:hanging="200"/>
              <w:jc w:val="center"/>
              <w:rPr/>
            </w:pPr>
            <w:r>
              <w:rPr/>
              <w:t> </w:t>
            </w:r>
          </w:p>
        </w:tc>
      </w:tr>
      <w:tr>
        <w:trPr/>
        <w:tc>
          <w:tcPr>
            <w:tcW w:w="4358" w:type="dxa"/>
            <w:tcBorders/>
            <w:shd w:fill="CCEEFF" w:val="clear"/>
            <w:vAlign w:val="center"/>
          </w:tcPr>
          <w:p>
            <w:pPr>
              <w:pStyle w:val="TableContents"/>
              <w:bidi w:val="0"/>
              <w:spacing w:before="0" w:after="283"/>
              <w:jc w:val="left"/>
              <w:rPr/>
            </w:pPr>
            <w:r>
              <w:rPr/>
              <w:t>Baozhen Zhu</w:t>
            </w:r>
          </w:p>
        </w:tc>
        <w:tc>
          <w:tcPr>
            <w:tcW w:w="60" w:type="dxa"/>
            <w:tcBorders/>
            <w:shd w:fill="CCEEFF" w:val="clear"/>
            <w:vAlign w:val="center"/>
          </w:tcPr>
          <w:p>
            <w:pPr>
              <w:pStyle w:val="TableContents"/>
              <w:bidi w:val="0"/>
              <w:spacing w:before="0" w:after="283"/>
              <w:jc w:val="left"/>
              <w:rPr/>
            </w:pPr>
            <w:r>
              <w:rPr/>
              <w:t> </w:t>
            </w:r>
          </w:p>
        </w:tc>
        <w:tc>
          <w:tcPr>
            <w:tcW w:w="2793" w:type="dxa"/>
            <w:tcBorders/>
            <w:shd w:fill="CCEEFF" w:val="clear"/>
            <w:vAlign w:val="center"/>
          </w:tcPr>
          <w:p>
            <w:pPr>
              <w:pStyle w:val="TableContents"/>
              <w:bidi w:val="0"/>
              <w:spacing w:before="0" w:after="283"/>
              <w:jc w:val="left"/>
              <w:rPr/>
            </w:pPr>
            <w:r>
              <w:rPr/>
              <w:t>Loan to related parties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829" w:name="xdx_984_ecustom--OtherReceivablesdueFrom"/>
            <w:bookmarkEnd w:id="829"/>
          </w:p>
        </w:tc>
        <w:tc>
          <w:tcPr>
            <w:tcW w:w="1400" w:type="dxa"/>
            <w:tcBorders/>
            <w:shd w:fill="CCEEFF" w:val="clear"/>
            <w:vAlign w:val="center"/>
          </w:tcPr>
          <w:p>
            <w:pPr>
              <w:pStyle w:val="TableContents"/>
              <w:bidi w:val="0"/>
              <w:spacing w:before="0" w:after="283"/>
              <w:jc w:val="right"/>
              <w:rPr/>
            </w:pPr>
            <w:r>
              <w:rPr/>
              <w:t>5,152</w:t>
            </w:r>
          </w:p>
        </w:tc>
        <w:tc>
          <w:tcPr>
            <w:tcW w:w="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830" w:name="xdx_985_ecustom--OtherReceivablesdueFrom"/>
            <w:bookmarkEnd w:id="830"/>
          </w:p>
        </w:tc>
        <w:tc>
          <w:tcPr>
            <w:tcW w:w="1014"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ind w:left="0" w:right="0" w:hanging="200"/>
              <w:jc w:val="left"/>
              <w:rPr/>
            </w:pPr>
            <w:r>
              <w:rPr/>
              <w:t> </w:t>
            </w:r>
          </w:p>
        </w:tc>
      </w:tr>
      <w:tr>
        <w:trPr/>
        <w:tc>
          <w:tcPr>
            <w:tcW w:w="4358" w:type="dxa"/>
            <w:tcBorders/>
            <w:shd w:fill="FFFFFF" w:val="clear"/>
            <w:vAlign w:val="center"/>
          </w:tcPr>
          <w:p>
            <w:pPr>
              <w:pStyle w:val="TableContents"/>
              <w:bidi w:val="0"/>
              <w:spacing w:before="0" w:after="283"/>
              <w:jc w:val="left"/>
              <w:rPr/>
            </w:pPr>
            <w:r>
              <w:rPr/>
              <w:t>Meigui Zeng</w:t>
            </w:r>
          </w:p>
        </w:tc>
        <w:tc>
          <w:tcPr>
            <w:tcW w:w="60" w:type="dxa"/>
            <w:tcBorders/>
            <w:shd w:fill="FFFFFF" w:val="clear"/>
            <w:vAlign w:val="center"/>
          </w:tcPr>
          <w:p>
            <w:pPr>
              <w:pStyle w:val="TableContents"/>
              <w:bidi w:val="0"/>
              <w:spacing w:before="0" w:after="283"/>
              <w:jc w:val="left"/>
              <w:rPr/>
            </w:pPr>
            <w:r>
              <w:rPr/>
              <w:t> </w:t>
            </w:r>
          </w:p>
        </w:tc>
        <w:tc>
          <w:tcPr>
            <w:tcW w:w="2793" w:type="dxa"/>
            <w:tcBorders/>
            <w:shd w:fill="FFFFFF" w:val="clear"/>
            <w:vAlign w:val="center"/>
          </w:tcPr>
          <w:p>
            <w:pPr>
              <w:pStyle w:val="TableContents"/>
              <w:bidi w:val="0"/>
              <w:spacing w:before="0" w:after="283"/>
              <w:jc w:val="left"/>
              <w:rPr/>
            </w:pPr>
            <w:r>
              <w:rPr/>
              <w:t>Loan to related parties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831" w:name="xdx_98A_ecustom--OtherReceivablesdueFrom"/>
            <w:bookmarkEnd w:id="831"/>
          </w:p>
        </w:tc>
        <w:tc>
          <w:tcPr>
            <w:tcW w:w="1400" w:type="dxa"/>
            <w:tcBorders/>
            <w:shd w:fill="FFFFFF" w:val="clear"/>
            <w:vAlign w:val="center"/>
          </w:tcPr>
          <w:p>
            <w:pPr>
              <w:pStyle w:val="TableContents"/>
              <w:bidi w:val="0"/>
              <w:spacing w:before="0" w:after="283"/>
              <w:jc w:val="right"/>
              <w:rPr/>
            </w:pPr>
            <w:r>
              <w:rPr/>
              <w:t>5,152</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832" w:name="xdx_98F_ecustom--OtherReceivablesdueFrom"/>
            <w:bookmarkEnd w:id="832"/>
          </w:p>
        </w:tc>
        <w:tc>
          <w:tcPr>
            <w:tcW w:w="1014"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ind w:left="0" w:right="0" w:hanging="200"/>
              <w:jc w:val="left"/>
              <w:rPr/>
            </w:pPr>
            <w:r>
              <w:rPr/>
              <w:t> </w:t>
            </w:r>
          </w:p>
        </w:tc>
      </w:tr>
      <w:tr>
        <w:trPr/>
        <w:tc>
          <w:tcPr>
            <w:tcW w:w="4358" w:type="dxa"/>
            <w:tcBorders/>
            <w:shd w:fill="CCEEFF" w:val="clear"/>
            <w:vAlign w:val="center"/>
          </w:tcPr>
          <w:p>
            <w:pPr>
              <w:pStyle w:val="TableContents"/>
              <w:bidi w:val="0"/>
              <w:spacing w:before="0" w:after="283"/>
              <w:jc w:val="left"/>
              <w:rPr/>
            </w:pPr>
            <w:r>
              <w:rPr/>
              <w:t>Dongxin Zhou</w:t>
            </w:r>
          </w:p>
        </w:tc>
        <w:tc>
          <w:tcPr>
            <w:tcW w:w="60" w:type="dxa"/>
            <w:tcBorders/>
            <w:shd w:fill="CCEEFF" w:val="clear"/>
            <w:vAlign w:val="center"/>
          </w:tcPr>
          <w:p>
            <w:pPr>
              <w:pStyle w:val="TableContents"/>
              <w:bidi w:val="0"/>
              <w:spacing w:before="0" w:after="283"/>
              <w:jc w:val="left"/>
              <w:rPr/>
            </w:pPr>
            <w:r>
              <w:rPr/>
              <w:t> </w:t>
            </w:r>
          </w:p>
        </w:tc>
        <w:tc>
          <w:tcPr>
            <w:tcW w:w="2793" w:type="dxa"/>
            <w:tcBorders/>
            <w:shd w:fill="CCEEFF" w:val="clear"/>
            <w:vAlign w:val="center"/>
          </w:tcPr>
          <w:p>
            <w:pPr>
              <w:pStyle w:val="TableContents"/>
              <w:bidi w:val="0"/>
              <w:spacing w:before="0" w:after="283"/>
              <w:jc w:val="left"/>
              <w:rPr/>
            </w:pPr>
            <w:r>
              <w:rPr/>
              <w:t>Loan to related parties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833" w:name="xdx_981_ecustom--OtherReceivablesdueFrom"/>
            <w:bookmarkEnd w:id="833"/>
          </w:p>
        </w:tc>
        <w:tc>
          <w:tcPr>
            <w:tcW w:w="1400" w:type="dxa"/>
            <w:tcBorders/>
            <w:shd w:fill="CCEEFF" w:val="clear"/>
            <w:vAlign w:val="center"/>
          </w:tcPr>
          <w:p>
            <w:pPr>
              <w:pStyle w:val="TableContents"/>
              <w:bidi w:val="0"/>
              <w:spacing w:before="0" w:after="283"/>
              <w:jc w:val="right"/>
              <w:rPr/>
            </w:pPr>
            <w:r>
              <w:rPr/>
              <w:t>2,145</w:t>
            </w:r>
          </w:p>
        </w:tc>
        <w:tc>
          <w:tcPr>
            <w:tcW w:w="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834" w:name="xdx_98B_ecustom--OtherReceivablesdueFrom"/>
            <w:bookmarkEnd w:id="834"/>
          </w:p>
        </w:tc>
        <w:tc>
          <w:tcPr>
            <w:tcW w:w="1014"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ind w:left="0" w:right="0" w:hanging="200"/>
              <w:jc w:val="left"/>
              <w:rPr/>
            </w:pPr>
            <w:r>
              <w:rPr/>
              <w:t> </w:t>
            </w:r>
          </w:p>
        </w:tc>
      </w:tr>
      <w:tr>
        <w:trPr/>
        <w:tc>
          <w:tcPr>
            <w:tcW w:w="4358" w:type="dxa"/>
            <w:tcBorders/>
            <w:shd w:fill="FFFFFF" w:val="clear"/>
            <w:vAlign w:val="center"/>
          </w:tcPr>
          <w:p>
            <w:pPr>
              <w:pStyle w:val="TableContents"/>
              <w:bidi w:val="0"/>
              <w:spacing w:before="0" w:after="283"/>
              <w:jc w:val="left"/>
              <w:rPr/>
            </w:pPr>
            <w:r>
              <w:rPr/>
              <w:t>Ning Ding</w:t>
            </w:r>
          </w:p>
        </w:tc>
        <w:tc>
          <w:tcPr>
            <w:tcW w:w="60" w:type="dxa"/>
            <w:tcBorders/>
            <w:shd w:fill="FFFFFF" w:val="clear"/>
            <w:vAlign w:val="center"/>
          </w:tcPr>
          <w:p>
            <w:pPr>
              <w:pStyle w:val="TableContents"/>
              <w:bidi w:val="0"/>
              <w:spacing w:before="0" w:after="283"/>
              <w:jc w:val="left"/>
              <w:rPr/>
            </w:pPr>
            <w:r>
              <w:rPr/>
              <w:t> </w:t>
            </w:r>
          </w:p>
        </w:tc>
        <w:tc>
          <w:tcPr>
            <w:tcW w:w="2793"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835" w:name="xdx_98F_ecustom--OtherReceivablesdueFrom"/>
            <w:bookmarkEnd w:id="835"/>
          </w:p>
        </w:tc>
        <w:tc>
          <w:tcPr>
            <w:tcW w:w="1400" w:type="dxa"/>
            <w:tcBorders/>
            <w:shd w:fill="FFFFFF" w:val="clear"/>
            <w:vAlign w:val="center"/>
          </w:tcPr>
          <w:p>
            <w:pPr>
              <w:pStyle w:val="TableContents"/>
              <w:bidi w:val="0"/>
              <w:spacing w:before="0" w:after="283"/>
              <w:jc w:val="right"/>
              <w:rPr/>
            </w:pPr>
            <w:r>
              <w:rPr/>
              <w:t>489,645</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836" w:name="xdx_98E_ecustom--OtherReceivablesdueFrom"/>
            <w:bookmarkEnd w:id="836"/>
          </w:p>
        </w:tc>
        <w:tc>
          <w:tcPr>
            <w:tcW w:w="1014"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ind w:left="0" w:right="0" w:hanging="200"/>
              <w:jc w:val="left"/>
              <w:rPr/>
            </w:pPr>
            <w:r>
              <w:rPr/>
              <w:t> </w:t>
            </w:r>
          </w:p>
        </w:tc>
      </w:tr>
      <w:tr>
        <w:trPr/>
        <w:tc>
          <w:tcPr>
            <w:tcW w:w="4358" w:type="dxa"/>
            <w:tcBorders/>
            <w:shd w:fill="CCEEFF" w:val="clear"/>
            <w:vAlign w:val="center"/>
          </w:tcPr>
          <w:p>
            <w:pPr>
              <w:pStyle w:val="TableContents"/>
              <w:bidi w:val="0"/>
              <w:spacing w:before="0" w:after="283"/>
              <w:jc w:val="left"/>
              <w:rPr/>
            </w:pPr>
            <w:r>
              <w:rPr/>
              <w:t>Chaoyong Xu</w:t>
            </w:r>
          </w:p>
        </w:tc>
        <w:tc>
          <w:tcPr>
            <w:tcW w:w="60" w:type="dxa"/>
            <w:tcBorders/>
            <w:shd w:fill="CCEEFF" w:val="clear"/>
            <w:vAlign w:val="center"/>
          </w:tcPr>
          <w:p>
            <w:pPr>
              <w:pStyle w:val="TableContents"/>
              <w:bidi w:val="0"/>
              <w:spacing w:before="0" w:after="283"/>
              <w:jc w:val="left"/>
              <w:rPr/>
            </w:pPr>
            <w:r>
              <w:rPr/>
              <w:t> </w:t>
            </w:r>
          </w:p>
        </w:tc>
        <w:tc>
          <w:tcPr>
            <w:tcW w:w="2793"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837" w:name="xdx_987_ecustom--OtherReceivablesdueFrom"/>
            <w:bookmarkEnd w:id="837"/>
          </w:p>
        </w:tc>
        <w:tc>
          <w:tcPr>
            <w:tcW w:w="1400" w:type="dxa"/>
            <w:tcBorders/>
            <w:shd w:fill="CCEEFF" w:val="clear"/>
            <w:vAlign w:val="center"/>
          </w:tcPr>
          <w:p>
            <w:pPr>
              <w:pStyle w:val="TableContents"/>
              <w:bidi w:val="0"/>
              <w:spacing w:before="0" w:after="283"/>
              <w:jc w:val="right"/>
              <w:rPr/>
            </w:pPr>
            <w:r>
              <w:rPr/>
              <w:t>37,992</w:t>
            </w:r>
          </w:p>
        </w:tc>
        <w:tc>
          <w:tcPr>
            <w:tcW w:w="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838" w:name="xdx_986_ecustom--OtherReceivablesdueFrom"/>
            <w:bookmarkEnd w:id="838"/>
          </w:p>
        </w:tc>
        <w:tc>
          <w:tcPr>
            <w:tcW w:w="1014"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ind w:left="0" w:right="0" w:hanging="200"/>
              <w:jc w:val="left"/>
              <w:rPr/>
            </w:pPr>
            <w:r>
              <w:rPr/>
              <w:t> </w:t>
            </w:r>
          </w:p>
        </w:tc>
      </w:tr>
      <w:tr>
        <w:trPr/>
        <w:tc>
          <w:tcPr>
            <w:tcW w:w="4358" w:type="dxa"/>
            <w:tcBorders/>
            <w:shd w:fill="FFFFFF" w:val="clear"/>
            <w:vAlign w:val="center"/>
          </w:tcPr>
          <w:p>
            <w:pPr>
              <w:pStyle w:val="TableContents"/>
              <w:bidi w:val="0"/>
              <w:spacing w:before="0" w:after="283"/>
              <w:jc w:val="left"/>
              <w:rPr/>
            </w:pPr>
            <w:r>
              <w:rPr/>
              <w:t>Huiming Liu</w:t>
            </w:r>
          </w:p>
        </w:tc>
        <w:tc>
          <w:tcPr>
            <w:tcW w:w="60" w:type="dxa"/>
            <w:tcBorders/>
            <w:shd w:fill="FFFFFF" w:val="clear"/>
            <w:vAlign w:val="center"/>
          </w:tcPr>
          <w:p>
            <w:pPr>
              <w:pStyle w:val="TableContents"/>
              <w:bidi w:val="0"/>
              <w:spacing w:before="0" w:after="283"/>
              <w:jc w:val="left"/>
              <w:rPr/>
            </w:pPr>
            <w:r>
              <w:rPr/>
              <w:t> </w:t>
            </w:r>
          </w:p>
        </w:tc>
        <w:tc>
          <w:tcPr>
            <w:tcW w:w="2793"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839" w:name="xdx_988_ecustom--OtherReceivablesdueFrom"/>
            <w:bookmarkEnd w:id="839"/>
          </w:p>
        </w:tc>
        <w:tc>
          <w:tcPr>
            <w:tcW w:w="1400" w:type="dxa"/>
            <w:tcBorders/>
            <w:shd w:fill="FFFFFF" w:val="clear"/>
            <w:vAlign w:val="center"/>
          </w:tcPr>
          <w:p>
            <w:pPr>
              <w:pStyle w:val="TableContents"/>
              <w:bidi w:val="0"/>
              <w:spacing w:before="0" w:after="283"/>
              <w:jc w:val="right"/>
              <w:rPr/>
            </w:pPr>
            <w:r>
              <w:rPr/>
              <w:t>37,992</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840" w:name="xdx_98A_ecustom--OtherReceivablesdueFrom"/>
            <w:bookmarkEnd w:id="840"/>
          </w:p>
        </w:tc>
        <w:tc>
          <w:tcPr>
            <w:tcW w:w="1014"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ind w:left="0" w:right="0" w:hanging="200"/>
              <w:jc w:val="left"/>
              <w:rPr/>
            </w:pPr>
            <w:r>
              <w:rPr/>
              <w:t> </w:t>
            </w:r>
          </w:p>
        </w:tc>
      </w:tr>
      <w:tr>
        <w:trPr/>
        <w:tc>
          <w:tcPr>
            <w:tcW w:w="4358" w:type="dxa"/>
            <w:tcBorders/>
            <w:shd w:fill="CCEEFF" w:val="clear"/>
            <w:vAlign w:val="center"/>
          </w:tcPr>
          <w:p>
            <w:pPr>
              <w:pStyle w:val="TableContents"/>
              <w:bidi w:val="0"/>
              <w:spacing w:before="0" w:after="283"/>
              <w:jc w:val="left"/>
              <w:rPr/>
            </w:pPr>
            <w:r>
              <w:rPr/>
              <w:t>Jieke Zhu</w:t>
            </w:r>
          </w:p>
        </w:tc>
        <w:tc>
          <w:tcPr>
            <w:tcW w:w="60" w:type="dxa"/>
            <w:tcBorders/>
            <w:shd w:fill="CCEEFF" w:val="clear"/>
            <w:vAlign w:val="center"/>
          </w:tcPr>
          <w:p>
            <w:pPr>
              <w:pStyle w:val="TableContents"/>
              <w:bidi w:val="0"/>
              <w:spacing w:before="0" w:after="283"/>
              <w:jc w:val="left"/>
              <w:rPr/>
            </w:pPr>
            <w:r>
              <w:rPr/>
              <w:t> </w:t>
            </w:r>
          </w:p>
        </w:tc>
        <w:tc>
          <w:tcPr>
            <w:tcW w:w="2793"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841" w:name="xdx_987_ecustom--OtherReceivablesdueFrom"/>
            <w:bookmarkEnd w:id="841"/>
          </w:p>
        </w:tc>
        <w:tc>
          <w:tcPr>
            <w:tcW w:w="1400" w:type="dxa"/>
            <w:tcBorders/>
            <w:shd w:fill="CCEEFF" w:val="clear"/>
            <w:vAlign w:val="center"/>
          </w:tcPr>
          <w:p>
            <w:pPr>
              <w:pStyle w:val="TableContents"/>
              <w:bidi w:val="0"/>
              <w:spacing w:before="0" w:after="283"/>
              <w:jc w:val="right"/>
              <w:rPr/>
            </w:pPr>
            <w:r>
              <w:rPr/>
              <w:t>5,717</w:t>
            </w:r>
          </w:p>
        </w:tc>
        <w:tc>
          <w:tcPr>
            <w:tcW w:w="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842" w:name="xdx_98C_ecustom--OtherReceivablesdueFrom"/>
            <w:bookmarkEnd w:id="842"/>
          </w:p>
        </w:tc>
        <w:tc>
          <w:tcPr>
            <w:tcW w:w="1014"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ind w:left="0" w:right="0" w:hanging="200"/>
              <w:jc w:val="left"/>
              <w:rPr/>
            </w:pPr>
            <w:r>
              <w:rPr/>
              <w:t> </w:t>
            </w:r>
          </w:p>
        </w:tc>
      </w:tr>
      <w:tr>
        <w:trPr/>
        <w:tc>
          <w:tcPr>
            <w:tcW w:w="4358" w:type="dxa"/>
            <w:tcBorders/>
            <w:shd w:fill="FFFFFF" w:val="clear"/>
            <w:vAlign w:val="center"/>
          </w:tcPr>
          <w:p>
            <w:pPr>
              <w:pStyle w:val="TableContents"/>
              <w:bidi w:val="0"/>
              <w:spacing w:before="0" w:after="283"/>
              <w:jc w:val="left"/>
              <w:rPr/>
            </w:pPr>
            <w:r>
              <w:rPr/>
              <w:t>Dongxin Zhou</w:t>
            </w:r>
          </w:p>
        </w:tc>
        <w:tc>
          <w:tcPr>
            <w:tcW w:w="60" w:type="dxa"/>
            <w:tcBorders/>
            <w:shd w:fill="FFFFFF" w:val="clear"/>
            <w:vAlign w:val="center"/>
          </w:tcPr>
          <w:p>
            <w:pPr>
              <w:pStyle w:val="TableContents"/>
              <w:bidi w:val="0"/>
              <w:spacing w:before="0" w:after="283"/>
              <w:jc w:val="left"/>
              <w:rPr/>
            </w:pPr>
            <w:r>
              <w:rPr/>
              <w:t> </w:t>
            </w:r>
          </w:p>
        </w:tc>
        <w:tc>
          <w:tcPr>
            <w:tcW w:w="2793"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843" w:name="xdx_989_ecustom--OtherReceivablesdueFrom"/>
            <w:bookmarkEnd w:id="843"/>
          </w:p>
        </w:tc>
        <w:tc>
          <w:tcPr>
            <w:tcW w:w="1400" w:type="dxa"/>
            <w:tcBorders/>
            <w:shd w:fill="FFFFFF" w:val="clear"/>
            <w:vAlign w:val="center"/>
          </w:tcPr>
          <w:p>
            <w:pPr>
              <w:pStyle w:val="TableContents"/>
              <w:bidi w:val="0"/>
              <w:spacing w:before="0" w:after="283"/>
              <w:jc w:val="right"/>
              <w:rPr/>
            </w:pPr>
            <w:r>
              <w:rPr/>
              <w:t>5,584</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844" w:name="xdx_98E_ecustom--OtherReceivablesdueFrom"/>
            <w:bookmarkEnd w:id="844"/>
          </w:p>
        </w:tc>
        <w:tc>
          <w:tcPr>
            <w:tcW w:w="1014"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ind w:left="0" w:right="0" w:hanging="200"/>
              <w:jc w:val="left"/>
              <w:rPr/>
            </w:pPr>
            <w:r>
              <w:rPr/>
              <w:t> </w:t>
            </w:r>
          </w:p>
        </w:tc>
      </w:tr>
      <w:tr>
        <w:trPr/>
        <w:tc>
          <w:tcPr>
            <w:tcW w:w="4358" w:type="dxa"/>
            <w:tcBorders/>
            <w:shd w:fill="CCEEFF" w:val="clear"/>
            <w:vAlign w:val="center"/>
          </w:tcPr>
          <w:p>
            <w:pPr>
              <w:pStyle w:val="TableContents"/>
              <w:bidi w:val="0"/>
              <w:spacing w:before="0" w:after="283"/>
              <w:jc w:val="left"/>
              <w:rPr/>
            </w:pPr>
            <w:r>
              <w:rPr/>
              <w:t>Kai Ding</w:t>
            </w:r>
          </w:p>
        </w:tc>
        <w:tc>
          <w:tcPr>
            <w:tcW w:w="60" w:type="dxa"/>
            <w:tcBorders/>
            <w:shd w:fill="CCEEFF" w:val="clear"/>
            <w:vAlign w:val="center"/>
          </w:tcPr>
          <w:p>
            <w:pPr>
              <w:pStyle w:val="TableContents"/>
              <w:bidi w:val="0"/>
              <w:spacing w:before="0" w:after="283"/>
              <w:jc w:val="left"/>
              <w:rPr/>
            </w:pPr>
            <w:r>
              <w:rPr/>
              <w:t> </w:t>
            </w:r>
          </w:p>
        </w:tc>
        <w:tc>
          <w:tcPr>
            <w:tcW w:w="2793"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845" w:name="xdx_989_ecustom--OtherReceivablesdueFrom"/>
            <w:bookmarkEnd w:id="845"/>
          </w:p>
        </w:tc>
        <w:tc>
          <w:tcPr>
            <w:tcW w:w="1400" w:type="dxa"/>
            <w:tcBorders/>
            <w:shd w:fill="CCEEFF" w:val="clear"/>
            <w:vAlign w:val="center"/>
          </w:tcPr>
          <w:p>
            <w:pPr>
              <w:pStyle w:val="TableContents"/>
              <w:bidi w:val="0"/>
              <w:spacing w:before="0" w:after="283"/>
              <w:jc w:val="right"/>
              <w:rPr/>
            </w:pPr>
            <w:r>
              <w:rPr/>
              <w:t>5,198</w:t>
            </w:r>
          </w:p>
        </w:tc>
        <w:tc>
          <w:tcPr>
            <w:tcW w:w="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846" w:name="xdx_989_ecustom--OtherReceivablesdueFrom"/>
            <w:bookmarkEnd w:id="846"/>
          </w:p>
        </w:tc>
        <w:tc>
          <w:tcPr>
            <w:tcW w:w="1014"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ind w:left="0" w:right="0" w:hanging="200"/>
              <w:jc w:val="left"/>
              <w:rPr/>
            </w:pPr>
            <w:r>
              <w:rPr/>
              <w:t> </w:t>
            </w:r>
          </w:p>
        </w:tc>
      </w:tr>
      <w:tr>
        <w:trPr/>
        <w:tc>
          <w:tcPr>
            <w:tcW w:w="4358" w:type="dxa"/>
            <w:tcBorders/>
            <w:shd w:fill="FFFFFF" w:val="clear"/>
            <w:vAlign w:val="center"/>
          </w:tcPr>
          <w:p>
            <w:pPr>
              <w:pStyle w:val="TableContents"/>
              <w:bidi w:val="0"/>
              <w:spacing w:before="0" w:after="283"/>
              <w:jc w:val="left"/>
              <w:rPr/>
            </w:pPr>
            <w:r>
              <w:rPr/>
              <w:t>DNR TECHNOLOGY CO., LTD.</w:t>
            </w:r>
          </w:p>
        </w:tc>
        <w:tc>
          <w:tcPr>
            <w:tcW w:w="60" w:type="dxa"/>
            <w:tcBorders/>
            <w:shd w:fill="FFFFFF" w:val="clear"/>
            <w:vAlign w:val="center"/>
          </w:tcPr>
          <w:p>
            <w:pPr>
              <w:pStyle w:val="TableContents"/>
              <w:bidi w:val="0"/>
              <w:spacing w:before="0" w:after="283"/>
              <w:jc w:val="left"/>
              <w:rPr/>
            </w:pPr>
            <w:r>
              <w:rPr/>
              <w:t> </w:t>
            </w:r>
          </w:p>
        </w:tc>
        <w:tc>
          <w:tcPr>
            <w:tcW w:w="2793"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847" w:name="xdx_989_ecustom--OtherReceivablesdueFrom"/>
            <w:bookmarkEnd w:id="847"/>
          </w:p>
        </w:tc>
        <w:tc>
          <w:tcPr>
            <w:tcW w:w="1400" w:type="dxa"/>
            <w:tcBorders/>
            <w:shd w:fill="FFFFFF" w:val="clear"/>
            <w:vAlign w:val="center"/>
          </w:tcPr>
          <w:p>
            <w:pPr>
              <w:pStyle w:val="TableContents"/>
              <w:bidi w:val="0"/>
              <w:spacing w:before="0" w:after="283"/>
              <w:jc w:val="right"/>
              <w:rPr/>
            </w:pPr>
            <w:r>
              <w:rPr/>
              <w:t>2,628</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848" w:name="xdx_984_ecustom--OtherReceivablesdueFrom"/>
            <w:bookmarkEnd w:id="848"/>
          </w:p>
        </w:tc>
        <w:tc>
          <w:tcPr>
            <w:tcW w:w="1014" w:type="dxa"/>
            <w:tcBorders/>
            <w:shd w:fill="FFFFFF" w:val="clear"/>
            <w:vAlign w:val="center"/>
          </w:tcPr>
          <w:p>
            <w:pPr>
              <w:pStyle w:val="TableContents"/>
              <w:bidi w:val="0"/>
              <w:spacing w:before="0" w:after="283"/>
              <w:jc w:val="right"/>
              <w:rPr/>
            </w:pPr>
            <w:r>
              <w:rPr/>
              <w:t>2,628</w:t>
            </w:r>
          </w:p>
        </w:tc>
        <w:tc>
          <w:tcPr>
            <w:tcW w:w="128" w:type="dxa"/>
            <w:tcBorders/>
            <w:shd w:fill="FFFFFF" w:val="clear"/>
            <w:vAlign w:val="center"/>
          </w:tcPr>
          <w:p>
            <w:pPr>
              <w:pStyle w:val="TableContents"/>
              <w:bidi w:val="0"/>
              <w:spacing w:before="0" w:after="283"/>
              <w:ind w:left="0" w:right="0" w:hanging="200"/>
              <w:jc w:val="left"/>
              <w:rPr/>
            </w:pPr>
            <w:r>
              <w:rPr/>
              <w:t> </w:t>
            </w:r>
          </w:p>
        </w:tc>
      </w:tr>
      <w:tr>
        <w:trPr/>
        <w:tc>
          <w:tcPr>
            <w:tcW w:w="4358" w:type="dxa"/>
            <w:tcBorders/>
            <w:shd w:fill="CCEEFF" w:val="clear"/>
            <w:vAlign w:val="center"/>
          </w:tcPr>
          <w:p>
            <w:pPr>
              <w:pStyle w:val="TableContents"/>
              <w:bidi w:val="0"/>
              <w:spacing w:before="0" w:after="283"/>
              <w:jc w:val="left"/>
              <w:rPr/>
            </w:pPr>
            <w:r>
              <w:rPr/>
              <w:t>NEWMICRO HOLDING LIMITED</w:t>
            </w:r>
          </w:p>
        </w:tc>
        <w:tc>
          <w:tcPr>
            <w:tcW w:w="60" w:type="dxa"/>
            <w:tcBorders/>
            <w:shd w:fill="CCEEFF" w:val="clear"/>
            <w:vAlign w:val="center"/>
          </w:tcPr>
          <w:p>
            <w:pPr>
              <w:pStyle w:val="TableContents"/>
              <w:bidi w:val="0"/>
              <w:spacing w:before="0" w:after="283"/>
              <w:jc w:val="left"/>
              <w:rPr/>
            </w:pPr>
            <w:r>
              <w:rPr/>
              <w:t> </w:t>
            </w:r>
          </w:p>
        </w:tc>
        <w:tc>
          <w:tcPr>
            <w:tcW w:w="2793"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849" w:name="xdx_98B_ecustom--OtherReceivablesdueFrom"/>
            <w:bookmarkEnd w:id="849"/>
          </w:p>
        </w:tc>
        <w:tc>
          <w:tcPr>
            <w:tcW w:w="1400" w:type="dxa"/>
            <w:tcBorders/>
            <w:shd w:fill="CCEEFF" w:val="clear"/>
            <w:vAlign w:val="center"/>
          </w:tcPr>
          <w:p>
            <w:pPr>
              <w:pStyle w:val="TableContents"/>
              <w:bidi w:val="0"/>
              <w:spacing w:before="0" w:after="283"/>
              <w:jc w:val="right"/>
              <w:rPr/>
            </w:pPr>
            <w:r>
              <w:rPr/>
              <w:t>150</w:t>
            </w:r>
          </w:p>
        </w:tc>
        <w:tc>
          <w:tcPr>
            <w:tcW w:w="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850" w:name="xdx_984_ecustom--OtherReceivablesdueFrom"/>
            <w:bookmarkEnd w:id="850"/>
          </w:p>
        </w:tc>
        <w:tc>
          <w:tcPr>
            <w:tcW w:w="1014"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ind w:left="0" w:right="0" w:hanging="200"/>
              <w:jc w:val="left"/>
              <w:rPr/>
            </w:pPr>
            <w:r>
              <w:rPr/>
              <w:t> </w:t>
            </w:r>
          </w:p>
        </w:tc>
      </w:tr>
      <w:tr>
        <w:trPr/>
        <w:tc>
          <w:tcPr>
            <w:tcW w:w="4358" w:type="dxa"/>
            <w:tcBorders/>
            <w:shd w:fill="FFFFFF" w:val="clear"/>
            <w:vAlign w:val="center"/>
          </w:tcPr>
          <w:p>
            <w:pPr>
              <w:pStyle w:val="TableContents"/>
              <w:bidi w:val="0"/>
              <w:spacing w:before="0" w:after="283"/>
              <w:jc w:val="left"/>
              <w:rPr/>
            </w:pPr>
            <w:r>
              <w:rPr/>
              <w:t>JINSHAN INTERNATIONAL INVESTMENT CO.,LTD.</w:t>
            </w:r>
          </w:p>
        </w:tc>
        <w:tc>
          <w:tcPr>
            <w:tcW w:w="60" w:type="dxa"/>
            <w:tcBorders/>
            <w:shd w:fill="FFFFFF" w:val="clear"/>
            <w:vAlign w:val="center"/>
          </w:tcPr>
          <w:p>
            <w:pPr>
              <w:pStyle w:val="TableContents"/>
              <w:bidi w:val="0"/>
              <w:spacing w:before="0" w:after="283"/>
              <w:jc w:val="left"/>
              <w:rPr/>
            </w:pPr>
            <w:r>
              <w:rPr/>
              <w:t> </w:t>
            </w:r>
          </w:p>
        </w:tc>
        <w:tc>
          <w:tcPr>
            <w:tcW w:w="2793"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851" w:name="xdx_98D_ecustom--OtherReceivablesdueFrom"/>
            <w:bookmarkEnd w:id="851"/>
          </w:p>
        </w:tc>
        <w:tc>
          <w:tcPr>
            <w:tcW w:w="1400" w:type="dxa"/>
            <w:tcBorders/>
            <w:shd w:fill="FFFFFF" w:val="clear"/>
            <w:vAlign w:val="center"/>
          </w:tcPr>
          <w:p>
            <w:pPr>
              <w:pStyle w:val="TableContents"/>
              <w:bidi w:val="0"/>
              <w:spacing w:before="0" w:after="283"/>
              <w:jc w:val="right"/>
              <w:rPr/>
            </w:pPr>
            <w:r>
              <w:rPr/>
              <w:t>150</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852" w:name="xdx_986_ecustom--OtherReceivablesdueFrom"/>
            <w:bookmarkEnd w:id="852"/>
          </w:p>
        </w:tc>
        <w:tc>
          <w:tcPr>
            <w:tcW w:w="1014"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ind w:left="0" w:right="0" w:hanging="200"/>
              <w:jc w:val="left"/>
              <w:rPr/>
            </w:pPr>
            <w:r>
              <w:rPr/>
              <w:t> </w:t>
            </w:r>
          </w:p>
        </w:tc>
      </w:tr>
      <w:tr>
        <w:trPr/>
        <w:tc>
          <w:tcPr>
            <w:tcW w:w="4358" w:type="dxa"/>
            <w:tcBorders/>
            <w:shd w:fill="CCEEFF" w:val="clear"/>
            <w:vAlign w:val="center"/>
          </w:tcPr>
          <w:p>
            <w:pPr>
              <w:pStyle w:val="TableContents"/>
              <w:bidi w:val="0"/>
              <w:spacing w:before="0" w:after="283"/>
              <w:jc w:val="left"/>
              <w:rPr/>
            </w:pPr>
            <w:r>
              <w:rPr/>
              <w:t>KKD HOLDING LIMITED.</w:t>
            </w:r>
          </w:p>
        </w:tc>
        <w:tc>
          <w:tcPr>
            <w:tcW w:w="60" w:type="dxa"/>
            <w:tcBorders/>
            <w:shd w:fill="CCEEFF" w:val="clear"/>
            <w:vAlign w:val="center"/>
          </w:tcPr>
          <w:p>
            <w:pPr>
              <w:pStyle w:val="TableContents"/>
              <w:bidi w:val="0"/>
              <w:spacing w:before="0" w:after="283"/>
              <w:jc w:val="left"/>
              <w:rPr/>
            </w:pPr>
            <w:r>
              <w:rPr/>
              <w:t> </w:t>
            </w:r>
          </w:p>
        </w:tc>
        <w:tc>
          <w:tcPr>
            <w:tcW w:w="2793"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853" w:name="xdx_98B_ecustom--OtherReceivablesdueFrom"/>
            <w:bookmarkEnd w:id="853"/>
          </w:p>
        </w:tc>
        <w:tc>
          <w:tcPr>
            <w:tcW w:w="1400" w:type="dxa"/>
            <w:tcBorders/>
            <w:shd w:fill="CCEEFF" w:val="clear"/>
            <w:vAlign w:val="center"/>
          </w:tcPr>
          <w:p>
            <w:pPr>
              <w:pStyle w:val="TableContents"/>
              <w:bidi w:val="0"/>
              <w:spacing w:before="0" w:after="283"/>
              <w:jc w:val="right"/>
              <w:rPr/>
            </w:pPr>
            <w:r>
              <w:rPr/>
              <w:t>915</w:t>
            </w:r>
          </w:p>
        </w:tc>
        <w:tc>
          <w:tcPr>
            <w:tcW w:w="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854" w:name="xdx_984_ecustom--OtherReceivablesdueFrom"/>
            <w:bookmarkEnd w:id="854"/>
          </w:p>
        </w:tc>
        <w:tc>
          <w:tcPr>
            <w:tcW w:w="1014"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ind w:left="0" w:right="0" w:hanging="200"/>
              <w:jc w:val="left"/>
              <w:rPr/>
            </w:pPr>
            <w:r>
              <w:rPr/>
              <w:t> </w:t>
            </w:r>
          </w:p>
        </w:tc>
      </w:tr>
      <w:tr>
        <w:trPr/>
        <w:tc>
          <w:tcPr>
            <w:tcW w:w="4358" w:type="dxa"/>
            <w:tcBorders/>
            <w:shd w:fill="FFFFFF" w:val="clear"/>
            <w:vAlign w:val="center"/>
          </w:tcPr>
          <w:p>
            <w:pPr>
              <w:pStyle w:val="TableContents"/>
              <w:bidi w:val="0"/>
              <w:spacing w:before="0" w:after="283"/>
              <w:jc w:val="left"/>
              <w:rPr/>
            </w:pPr>
            <w:r>
              <w:rPr/>
              <w:t>VIMISCI HOLDING LIMITED</w:t>
            </w:r>
          </w:p>
        </w:tc>
        <w:tc>
          <w:tcPr>
            <w:tcW w:w="60" w:type="dxa"/>
            <w:tcBorders/>
            <w:shd w:fill="FFFFFF" w:val="clear"/>
            <w:vAlign w:val="center"/>
          </w:tcPr>
          <w:p>
            <w:pPr>
              <w:pStyle w:val="TableContents"/>
              <w:bidi w:val="0"/>
              <w:spacing w:before="0" w:after="283"/>
              <w:jc w:val="left"/>
              <w:rPr/>
            </w:pPr>
            <w:r>
              <w:rPr/>
              <w:t> </w:t>
            </w:r>
          </w:p>
        </w:tc>
        <w:tc>
          <w:tcPr>
            <w:tcW w:w="2793" w:type="dxa"/>
            <w:tcBorders/>
            <w:shd w:fill="FFFFFF" w:val="clear"/>
            <w:vAlign w:val="center"/>
          </w:tcPr>
          <w:p>
            <w:pPr>
              <w:pStyle w:val="TableContents"/>
              <w:bidi w:val="0"/>
              <w:spacing w:before="0" w:after="283"/>
              <w:jc w:val="left"/>
              <w:rPr/>
            </w:pPr>
            <w:r>
              <w:rPr/>
              <w:t>Expenses paid on behalf of related parties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855" w:name="xdx_981_ecustom--OtherReceivablesdueFrom"/>
            <w:bookmarkEnd w:id="855"/>
          </w:p>
        </w:tc>
        <w:tc>
          <w:tcPr>
            <w:tcW w:w="1400" w:type="dxa"/>
            <w:tcBorders/>
            <w:shd w:fill="FFFFFF" w:val="clear"/>
            <w:vAlign w:val="center"/>
          </w:tcPr>
          <w:p>
            <w:pPr>
              <w:pStyle w:val="TableContents"/>
              <w:bidi w:val="0"/>
              <w:spacing w:before="0" w:after="283"/>
              <w:jc w:val="right"/>
              <w:rPr/>
            </w:pPr>
            <w:r>
              <w:rPr/>
              <w:t>47</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856" w:name="xdx_98A_ecustom--OtherReceivablesdueFrom"/>
            <w:bookmarkEnd w:id="856"/>
          </w:p>
        </w:tc>
        <w:tc>
          <w:tcPr>
            <w:tcW w:w="1014" w:type="dxa"/>
            <w:tcBorders/>
            <w:shd w:fill="FFFFFF" w:val="clear"/>
            <w:vAlign w:val="center"/>
          </w:tcPr>
          <w:p>
            <w:pPr>
              <w:pStyle w:val="TableContents"/>
              <w:bidi w:val="0"/>
              <w:spacing w:before="0" w:after="283"/>
              <w:jc w:val="right"/>
              <w:rPr/>
            </w:pPr>
            <w:r>
              <w:rPr/>
              <w:t>47</w:t>
            </w:r>
          </w:p>
        </w:tc>
        <w:tc>
          <w:tcPr>
            <w:tcW w:w="128" w:type="dxa"/>
            <w:tcBorders/>
            <w:shd w:fill="FFFFFF" w:val="clear"/>
            <w:vAlign w:val="center"/>
          </w:tcPr>
          <w:p>
            <w:pPr>
              <w:pStyle w:val="TableContents"/>
              <w:bidi w:val="0"/>
              <w:spacing w:before="0" w:after="283"/>
              <w:ind w:left="0" w:right="0" w:hanging="200"/>
              <w:jc w:val="left"/>
              <w:rPr/>
            </w:pPr>
            <w:r>
              <w:rPr/>
              <w:t> </w:t>
            </w:r>
          </w:p>
        </w:tc>
      </w:tr>
      <w:tr>
        <w:trPr/>
        <w:tc>
          <w:tcPr>
            <w:tcW w:w="4358" w:type="dxa"/>
            <w:tcBorders/>
            <w:shd w:fill="CCEEFF" w:val="clear"/>
            <w:vAlign w:val="center"/>
          </w:tcPr>
          <w:p>
            <w:pPr>
              <w:pStyle w:val="TableContents"/>
              <w:bidi w:val="0"/>
              <w:spacing w:before="0" w:after="283"/>
              <w:jc w:val="left"/>
              <w:rPr/>
            </w:pPr>
            <w:r>
              <w:rPr/>
              <w:t>PSM-ZJK</w:t>
            </w:r>
          </w:p>
        </w:tc>
        <w:tc>
          <w:tcPr>
            <w:tcW w:w="60" w:type="dxa"/>
            <w:tcBorders/>
            <w:shd w:fill="CCEEFF" w:val="clear"/>
            <w:vAlign w:val="center"/>
          </w:tcPr>
          <w:p>
            <w:pPr>
              <w:pStyle w:val="TableContents"/>
              <w:bidi w:val="0"/>
              <w:spacing w:before="0" w:after="283"/>
              <w:jc w:val="left"/>
              <w:rPr/>
            </w:pPr>
            <w:r>
              <w:rPr/>
              <w:t> </w:t>
            </w:r>
          </w:p>
        </w:tc>
        <w:tc>
          <w:tcPr>
            <w:tcW w:w="2793" w:type="dxa"/>
            <w:tcBorders/>
            <w:shd w:fill="CCEEFF" w:val="clear"/>
            <w:vAlign w:val="center"/>
          </w:tcPr>
          <w:p>
            <w:pPr>
              <w:pStyle w:val="TableContents"/>
              <w:bidi w:val="0"/>
              <w:spacing w:before="0" w:after="283"/>
              <w:jc w:val="left"/>
              <w:rPr/>
            </w:pPr>
            <w:r>
              <w:rPr/>
              <w:t>Expenses paid on behalf of related parties</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7" w:name="xdx_98B_ecustom--OtherReceivablesdueFrom"/>
            <w:bookmarkEnd w:id="857"/>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8" w:name="xdx_981_ecustom--OtherReceivablesdueFrom"/>
            <w:bookmarkEnd w:id="858"/>
          </w:p>
        </w:tc>
        <w:tc>
          <w:tcPr>
            <w:tcW w:w="1014" w:type="dxa"/>
            <w:tcBorders>
              <w:bottom w:val="single" w:sz="8" w:space="0" w:color="000000"/>
            </w:tcBorders>
            <w:shd w:fill="CCEEFF" w:val="clear"/>
            <w:tcMar>
              <w:bottom w:w="28" w:type="dxa"/>
            </w:tcMar>
            <w:vAlign w:val="center"/>
          </w:tcPr>
          <w:p>
            <w:pPr>
              <w:pStyle w:val="TableContents"/>
              <w:bidi w:val="0"/>
              <w:spacing w:before="0" w:after="283"/>
              <w:jc w:val="right"/>
              <w:rPr/>
            </w:pPr>
            <w:r>
              <w:rPr/>
              <w:t>1,038</w:t>
            </w:r>
          </w:p>
        </w:tc>
        <w:tc>
          <w:tcPr>
            <w:tcW w:w="128" w:type="dxa"/>
            <w:tcBorders/>
            <w:shd w:fill="CCEEFF" w:val="clear"/>
            <w:vAlign w:val="center"/>
          </w:tcPr>
          <w:p>
            <w:pPr>
              <w:pStyle w:val="TableContents"/>
              <w:bidi w:val="0"/>
              <w:spacing w:before="0" w:after="283"/>
              <w:ind w:left="0" w:right="0" w:hanging="200"/>
              <w:jc w:val="left"/>
              <w:rPr/>
            </w:pPr>
            <w:r>
              <w:rPr/>
              <w:t> </w:t>
            </w:r>
          </w:p>
        </w:tc>
      </w:tr>
      <w:tr>
        <w:trPr/>
        <w:tc>
          <w:tcPr>
            <w:tcW w:w="4358"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27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59" w:name="xdx_986_ecustom--OtherReceivablesdueFrom"/>
            <w:bookmarkEnd w:id="859"/>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598,467</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60" w:name="xdx_989_ecustom--OtherReceivablesdueFrom"/>
            <w:bookmarkEnd w:id="860"/>
          </w:p>
        </w:tc>
        <w:tc>
          <w:tcPr>
            <w:tcW w:w="101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3,713</w:t>
            </w:r>
          </w:p>
        </w:tc>
        <w:tc>
          <w:tcPr>
            <w:tcW w:w="128"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861" w:name="xdx_8A6_z0Q87DrQ8bc3"/>
      <w:bookmarkEnd w:id="861"/>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payables-due to related parties: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62" w:name="xdx_890_ecustom--ScheduleOfOtherPayableD"/>
      <w:bookmarkStart w:id="863" w:name="xdx_890_ecustom--ScheduleOfOtherPayableD"/>
      <w:bookmarkEnd w:id="863"/>
    </w:p>
    <w:tbl>
      <w:tblPr>
        <w:tblW w:w="10205" w:type="dxa"/>
        <w:jc w:val="left"/>
        <w:tblInd w:w="0" w:type="dxa"/>
        <w:tblLayout w:type="fixed"/>
        <w:tblCellMar>
          <w:top w:w="0" w:type="dxa"/>
          <w:left w:w="0" w:type="dxa"/>
          <w:bottom w:w="0" w:type="dxa"/>
          <w:right w:w="0" w:type="dxa"/>
        </w:tblCellMar>
      </w:tblPr>
      <w:tblGrid>
        <w:gridCol w:w="3918"/>
        <w:gridCol w:w="60"/>
        <w:gridCol w:w="3101"/>
        <w:gridCol w:w="60"/>
        <w:gridCol w:w="91"/>
        <w:gridCol w:w="1495"/>
        <w:gridCol w:w="91"/>
        <w:gridCol w:w="60"/>
        <w:gridCol w:w="70"/>
        <w:gridCol w:w="1166"/>
        <w:gridCol w:w="93"/>
      </w:tblGrid>
      <w:tr>
        <w:trPr/>
        <w:tc>
          <w:tcPr>
            <w:tcW w:w="3918" w:type="dxa"/>
            <w:tcBorders/>
            <w:shd w:fill="FFFFFF" w:val="clear"/>
            <w:vAlign w:val="center"/>
          </w:tcPr>
          <w:p>
            <w:pPr>
              <w:pStyle w:val="TableContents"/>
              <w:bidi w:val="0"/>
              <w:spacing w:before="0" w:after="283"/>
              <w:ind w:left="0" w:right="0" w:hanging="200"/>
              <w:jc w:val="left"/>
              <w:rPr/>
            </w:pPr>
            <w:bookmarkStart w:id="864" w:name="xdx_8BE_z7y317qEo9D1"/>
            <w:bookmarkEnd w:id="864"/>
            <w:r>
              <w:rPr/>
              <w:t>Schedule of Other receivables-due from related parties</w:t>
            </w:r>
          </w:p>
        </w:tc>
        <w:tc>
          <w:tcPr>
            <w:tcW w:w="60" w:type="dxa"/>
            <w:tcBorders/>
            <w:shd w:fill="FFFFFF" w:val="clear"/>
            <w:vAlign w:val="center"/>
          </w:tcPr>
          <w:p>
            <w:pPr>
              <w:pStyle w:val="TableContents"/>
              <w:bidi w:val="0"/>
              <w:spacing w:before="0" w:after="283"/>
              <w:jc w:val="left"/>
              <w:rPr/>
            </w:pPr>
            <w:r>
              <w:rPr/>
              <w:t> </w:t>
            </w:r>
          </w:p>
        </w:tc>
        <w:tc>
          <w:tcPr>
            <w:tcW w:w="3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39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66"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As of</w:t>
            </w:r>
          </w:p>
        </w:tc>
      </w:tr>
      <w:tr>
        <w:trPr/>
        <w:tc>
          <w:tcPr>
            <w:tcW w:w="39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1329"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June 30, 2026</w:t>
            </w:r>
          </w:p>
        </w:tc>
      </w:tr>
      <w:tr>
        <w:trPr/>
        <w:tc>
          <w:tcPr>
            <w:tcW w:w="39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7"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329" w:type="dxa"/>
            <w:gridSpan w:val="3"/>
            <w:tcBorders/>
            <w:vAlign w:val="center"/>
          </w:tcPr>
          <w:p>
            <w:pPr>
              <w:pStyle w:val="TableContents"/>
              <w:bidi w:val="0"/>
              <w:spacing w:before="0" w:after="283"/>
              <w:ind w:left="0" w:right="0" w:hanging="200"/>
              <w:jc w:val="center"/>
              <w:rPr>
                <w:b/>
              </w:rPr>
            </w:pPr>
            <w:r>
              <w:rPr>
                <w:b/>
              </w:rPr>
              <w:t>$US</w:t>
            </w:r>
          </w:p>
        </w:tc>
      </w:tr>
      <w:tr>
        <w:trPr/>
        <w:tc>
          <w:tcPr>
            <w:tcW w:w="39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7"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9" w:type="dxa"/>
            <w:gridSpan w:val="3"/>
            <w:tcBorders/>
            <w:vAlign w:val="center"/>
          </w:tcPr>
          <w:p>
            <w:pPr>
              <w:pStyle w:val="TableContents"/>
              <w:bidi w:val="0"/>
              <w:spacing w:before="0" w:after="283"/>
              <w:ind w:left="0" w:right="0" w:hanging="200"/>
              <w:jc w:val="center"/>
              <w:rPr>
                <w:b/>
              </w:rPr>
            </w:pPr>
            <w:r>
              <w:rPr>
                <w:b/>
              </w:rPr>
              <w:t>(Unaudited)</w:t>
            </w:r>
          </w:p>
        </w:tc>
      </w:tr>
      <w:tr>
        <w:trPr/>
        <w:tc>
          <w:tcPr>
            <w:tcW w:w="3918" w:type="dxa"/>
            <w:tcBorders/>
            <w:vAlign w:val="center"/>
          </w:tcPr>
          <w:p>
            <w:pPr>
              <w:pStyle w:val="TableContents"/>
              <w:bidi w:val="0"/>
              <w:spacing w:before="0" w:after="283"/>
              <w:jc w:val="left"/>
              <w:rPr>
                <w:b/>
              </w:rPr>
            </w:pPr>
            <w:r>
              <w:rPr>
                <w:b/>
              </w:rPr>
              <w:t>Name of related parties</w:t>
            </w:r>
          </w:p>
        </w:tc>
        <w:tc>
          <w:tcPr>
            <w:tcW w:w="60" w:type="dxa"/>
            <w:tcBorders/>
            <w:vAlign w:val="center"/>
          </w:tcPr>
          <w:p>
            <w:pPr>
              <w:pStyle w:val="TableContents"/>
              <w:bidi w:val="0"/>
              <w:spacing w:before="0" w:after="283"/>
              <w:jc w:val="left"/>
              <w:rPr/>
            </w:pPr>
            <w:r>
              <w:rPr/>
              <w:t> </w:t>
            </w:r>
          </w:p>
        </w:tc>
        <w:tc>
          <w:tcPr>
            <w:tcW w:w="3101" w:type="dxa"/>
            <w:tcBorders/>
            <w:vAlign w:val="center"/>
          </w:tcPr>
          <w:p>
            <w:pPr>
              <w:pStyle w:val="TableContents"/>
              <w:bidi w:val="0"/>
              <w:spacing w:before="0" w:after="283"/>
              <w:jc w:val="center"/>
              <w:rPr>
                <w:b/>
              </w:rPr>
            </w:pPr>
            <w:r>
              <w:rPr>
                <w:b/>
              </w:rPr>
              <w:t>Nature</w:t>
            </w:r>
          </w:p>
        </w:tc>
        <w:tc>
          <w:tcPr>
            <w:tcW w:w="60" w:type="dxa"/>
            <w:tcBorders/>
            <w:vAlign w:val="center"/>
          </w:tcPr>
          <w:p>
            <w:pPr>
              <w:pStyle w:val="TableContents"/>
              <w:bidi w:val="0"/>
              <w:spacing w:before="0" w:after="283"/>
              <w:jc w:val="left"/>
              <w:rPr/>
            </w:pPr>
            <w:r>
              <w:rPr/>
              <w:t> </w:t>
            </w:r>
          </w:p>
        </w:tc>
        <w:tc>
          <w:tcPr>
            <w:tcW w:w="1677"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9" w:type="dxa"/>
            <w:gridSpan w:val="3"/>
            <w:tcBorders/>
            <w:vAlign w:val="center"/>
          </w:tcPr>
          <w:p>
            <w:pPr>
              <w:pStyle w:val="TableContents"/>
              <w:bidi w:val="0"/>
              <w:spacing w:before="0" w:after="283"/>
              <w:ind w:left="0" w:right="0" w:hanging="200"/>
              <w:jc w:val="center"/>
              <w:rPr/>
            </w:pPr>
            <w:r>
              <w:rPr/>
              <w:t> </w:t>
            </w:r>
          </w:p>
        </w:tc>
      </w:tr>
      <w:tr>
        <w:trPr/>
        <w:tc>
          <w:tcPr>
            <w:tcW w:w="3918"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3101" w:type="dxa"/>
            <w:tcBorders/>
            <w:shd w:fill="CCEEFF" w:val="clear"/>
            <w:vAlign w:val="center"/>
          </w:tcPr>
          <w:p>
            <w:pPr>
              <w:pStyle w:val="TableContents"/>
              <w:bidi w:val="0"/>
              <w:spacing w:before="0" w:after="283"/>
              <w:jc w:val="left"/>
              <w:rPr/>
            </w:pPr>
            <w:r>
              <w:rPr/>
              <w:t>Sales Compensation</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865" w:name="xdx_984_ecustom--OtherPayablesdueToRelat"/>
            <w:bookmarkEnd w:id="865"/>
          </w:p>
        </w:tc>
        <w:tc>
          <w:tcPr>
            <w:tcW w:w="1495" w:type="dxa"/>
            <w:tcBorders/>
            <w:shd w:fill="CCEEFF" w:val="clear"/>
            <w:vAlign w:val="center"/>
          </w:tcPr>
          <w:p>
            <w:pPr>
              <w:pStyle w:val="TableContents"/>
              <w:bidi w:val="0"/>
              <w:spacing w:before="0" w:after="283"/>
              <w:jc w:val="right"/>
              <w:rPr/>
            </w:pPr>
            <w:r>
              <w:rPr/>
              <w:t>1,665,314</w:t>
            </w:r>
          </w:p>
        </w:tc>
        <w:tc>
          <w:tcPr>
            <w:tcW w:w="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866" w:name="xdx_989_ecustom--OtherPayablesdueToRelat"/>
            <w:bookmarkEnd w:id="866"/>
          </w:p>
        </w:tc>
        <w:tc>
          <w:tcPr>
            <w:tcW w:w="1166" w:type="dxa"/>
            <w:tcBorders/>
            <w:shd w:fill="CCEEFF" w:val="clear"/>
            <w:vAlign w:val="center"/>
          </w:tcPr>
          <w:p>
            <w:pPr>
              <w:pStyle w:val="TableContents"/>
              <w:bidi w:val="0"/>
              <w:spacing w:before="0" w:after="283"/>
              <w:jc w:val="right"/>
              <w:rPr/>
            </w:pPr>
            <w:r>
              <w:rPr/>
              <w:t>2,294,040</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3918" w:type="dxa"/>
            <w:tcBorders/>
            <w:shd w:fill="FFFFFF" w:val="clear"/>
            <w:vAlign w:val="center"/>
          </w:tcPr>
          <w:p>
            <w:pPr>
              <w:pStyle w:val="TableContents"/>
              <w:bidi w:val="0"/>
              <w:spacing w:before="0" w:after="283"/>
              <w:jc w:val="left"/>
              <w:rPr/>
            </w:pPr>
            <w:r>
              <w:rPr/>
              <w:t>Kai Ding</w:t>
            </w:r>
          </w:p>
        </w:tc>
        <w:tc>
          <w:tcPr>
            <w:tcW w:w="60" w:type="dxa"/>
            <w:tcBorders/>
            <w:shd w:fill="FFFFFF" w:val="clear"/>
            <w:vAlign w:val="center"/>
          </w:tcPr>
          <w:p>
            <w:pPr>
              <w:pStyle w:val="TableContents"/>
              <w:bidi w:val="0"/>
              <w:spacing w:before="0" w:after="283"/>
              <w:jc w:val="left"/>
              <w:rPr/>
            </w:pPr>
            <w:r>
              <w:rPr/>
              <w:t> </w:t>
            </w:r>
          </w:p>
        </w:tc>
        <w:tc>
          <w:tcPr>
            <w:tcW w:w="3101" w:type="dxa"/>
            <w:tcBorders/>
            <w:shd w:fill="FFFFFF" w:val="clear"/>
            <w:vAlign w:val="center"/>
          </w:tcPr>
          <w:p>
            <w:pPr>
              <w:pStyle w:val="TableContents"/>
              <w:bidi w:val="0"/>
              <w:spacing w:before="0" w:after="283"/>
              <w:jc w:val="left"/>
              <w:rPr/>
            </w:pPr>
            <w:r>
              <w:rPr/>
              <w:t>Sales Compensation</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867" w:name="xdx_98C_ecustom--OtherPayablesdueToRelat"/>
            <w:bookmarkEnd w:id="867"/>
          </w:p>
        </w:tc>
        <w:tc>
          <w:tcPr>
            <w:tcW w:w="1495" w:type="dxa"/>
            <w:tcBorders/>
            <w:shd w:fill="FFFFFF" w:val="clear"/>
            <w:vAlign w:val="center"/>
          </w:tcPr>
          <w:p>
            <w:pPr>
              <w:pStyle w:val="TableContents"/>
              <w:bidi w:val="0"/>
              <w:spacing w:before="0" w:after="283"/>
              <w:jc w:val="right"/>
              <w:rPr/>
            </w:pPr>
            <w:r>
              <w:rPr/>
              <w:t>306,666</w:t>
            </w:r>
          </w:p>
        </w:tc>
        <w:tc>
          <w:tcPr>
            <w:tcW w:w="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868" w:name="xdx_987_ecustom--OtherPayablesdueToRelat"/>
            <w:bookmarkEnd w:id="868"/>
          </w:p>
        </w:tc>
        <w:tc>
          <w:tcPr>
            <w:tcW w:w="1166"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3918" w:type="dxa"/>
            <w:tcBorders/>
            <w:shd w:fill="CCEEFF" w:val="clear"/>
            <w:vAlign w:val="center"/>
          </w:tcPr>
          <w:p>
            <w:pPr>
              <w:pStyle w:val="TableContents"/>
              <w:bidi w:val="0"/>
              <w:spacing w:before="0" w:after="283"/>
              <w:jc w:val="left"/>
              <w:rPr/>
            </w:pPr>
            <w:r>
              <w:rPr/>
              <w:t>Kai Huang</w:t>
            </w:r>
          </w:p>
        </w:tc>
        <w:tc>
          <w:tcPr>
            <w:tcW w:w="60" w:type="dxa"/>
            <w:tcBorders/>
            <w:shd w:fill="CCEEFF" w:val="clear"/>
            <w:vAlign w:val="center"/>
          </w:tcPr>
          <w:p>
            <w:pPr>
              <w:pStyle w:val="TableContents"/>
              <w:bidi w:val="0"/>
              <w:spacing w:before="0" w:after="283"/>
              <w:jc w:val="left"/>
              <w:rPr/>
            </w:pPr>
            <w:r>
              <w:rPr/>
              <w:t> </w:t>
            </w:r>
          </w:p>
        </w:tc>
        <w:tc>
          <w:tcPr>
            <w:tcW w:w="3101" w:type="dxa"/>
            <w:tcBorders/>
            <w:shd w:fill="CCEEFF" w:val="clear"/>
            <w:vAlign w:val="center"/>
          </w:tcPr>
          <w:p>
            <w:pPr>
              <w:pStyle w:val="TableContents"/>
              <w:bidi w:val="0"/>
              <w:spacing w:before="0" w:after="283"/>
              <w:jc w:val="left"/>
              <w:rPr/>
            </w:pPr>
            <w:r>
              <w:rPr/>
              <w:t>Loan from related parties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869" w:name="xdx_983_ecustom--OtherPayablesdueToRelat"/>
            <w:bookmarkEnd w:id="869"/>
          </w:p>
        </w:tc>
        <w:tc>
          <w:tcPr>
            <w:tcW w:w="1495" w:type="dxa"/>
            <w:tcBorders/>
            <w:shd w:fill="CCEEFF" w:val="clear"/>
            <w:vAlign w:val="center"/>
          </w:tcPr>
          <w:p>
            <w:pPr>
              <w:pStyle w:val="TableContents"/>
              <w:bidi w:val="0"/>
              <w:spacing w:before="0" w:after="283"/>
              <w:jc w:val="right"/>
              <w:rPr/>
            </w:pPr>
            <w:r>
              <w:rPr/>
              <w:t>142,998</w:t>
            </w:r>
          </w:p>
        </w:tc>
        <w:tc>
          <w:tcPr>
            <w:tcW w:w="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870" w:name="xdx_986_ecustom--OtherPayablesdueToRelat"/>
            <w:bookmarkEnd w:id="870"/>
          </w:p>
        </w:tc>
        <w:tc>
          <w:tcPr>
            <w:tcW w:w="1166" w:type="dxa"/>
            <w:tcBorders/>
            <w:shd w:fill="CCEEFF" w:val="clear"/>
            <w:vAlign w:val="center"/>
          </w:tcPr>
          <w:p>
            <w:pPr>
              <w:pStyle w:val="TableContents"/>
              <w:bidi w:val="0"/>
              <w:spacing w:before="0" w:after="283"/>
              <w:jc w:val="right"/>
              <w:rPr/>
            </w:pPr>
            <w:r>
              <w:rPr/>
              <w:t>147,382</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3918" w:type="dxa"/>
            <w:tcBorders/>
            <w:shd w:fill="FFFFFF" w:val="clear"/>
            <w:vAlign w:val="center"/>
          </w:tcPr>
          <w:p>
            <w:pPr>
              <w:pStyle w:val="TableContents"/>
              <w:bidi w:val="0"/>
              <w:spacing w:before="0" w:after="283"/>
              <w:jc w:val="left"/>
              <w:rPr/>
            </w:pPr>
            <w:r>
              <w:rPr/>
              <w:t>Ning Ding</w:t>
            </w:r>
          </w:p>
        </w:tc>
        <w:tc>
          <w:tcPr>
            <w:tcW w:w="60" w:type="dxa"/>
            <w:tcBorders/>
            <w:shd w:fill="FFFFFF" w:val="clear"/>
            <w:vAlign w:val="center"/>
          </w:tcPr>
          <w:p>
            <w:pPr>
              <w:pStyle w:val="TableContents"/>
              <w:bidi w:val="0"/>
              <w:spacing w:before="0" w:after="283"/>
              <w:jc w:val="left"/>
              <w:rPr/>
            </w:pPr>
            <w:r>
              <w:rPr/>
              <w:t> </w:t>
            </w:r>
          </w:p>
        </w:tc>
        <w:tc>
          <w:tcPr>
            <w:tcW w:w="3101" w:type="dxa"/>
            <w:tcBorders/>
            <w:shd w:fill="FFFFFF" w:val="clear"/>
            <w:vAlign w:val="center"/>
          </w:tcPr>
          <w:p>
            <w:pPr>
              <w:pStyle w:val="TableContents"/>
              <w:bidi w:val="0"/>
              <w:spacing w:before="0" w:after="283"/>
              <w:jc w:val="left"/>
              <w:rPr/>
            </w:pPr>
            <w:r>
              <w:rPr/>
              <w:t>Loan from related parties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871" w:name="xdx_984_ecustom--OtherPayablesdueToRelat"/>
            <w:bookmarkEnd w:id="871"/>
          </w:p>
        </w:tc>
        <w:tc>
          <w:tcPr>
            <w:tcW w:w="1495" w:type="dxa"/>
            <w:tcBorders/>
            <w:shd w:fill="FFFFFF" w:val="clear"/>
            <w:vAlign w:val="center"/>
          </w:tcPr>
          <w:p>
            <w:pPr>
              <w:pStyle w:val="TableContents"/>
              <w:bidi w:val="0"/>
              <w:spacing w:before="0" w:after="283"/>
              <w:jc w:val="right"/>
              <w:rPr/>
            </w:pPr>
            <w:r>
              <w:rPr/>
              <w:t>108,691</w:t>
            </w:r>
          </w:p>
        </w:tc>
        <w:tc>
          <w:tcPr>
            <w:tcW w:w="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872" w:name="xdx_98B_ecustom--OtherPayablesdueToRelat"/>
            <w:bookmarkEnd w:id="872"/>
          </w:p>
        </w:tc>
        <w:tc>
          <w:tcPr>
            <w:tcW w:w="1166" w:type="dxa"/>
            <w:tcBorders/>
            <w:shd w:fill="FFFFFF" w:val="clear"/>
            <w:vAlign w:val="center"/>
          </w:tcPr>
          <w:p>
            <w:pPr>
              <w:pStyle w:val="TableContents"/>
              <w:bidi w:val="0"/>
              <w:spacing w:before="0" w:after="283"/>
              <w:jc w:val="right"/>
              <w:rPr/>
            </w:pPr>
            <w:r>
              <w:rPr/>
              <w:t>119,988</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3918"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3101" w:type="dxa"/>
            <w:tcBorders/>
            <w:shd w:fill="CCEEFF" w:val="clear"/>
            <w:vAlign w:val="center"/>
          </w:tcPr>
          <w:p>
            <w:pPr>
              <w:pStyle w:val="TableContents"/>
              <w:bidi w:val="0"/>
              <w:spacing w:before="0" w:after="283"/>
              <w:jc w:val="left"/>
              <w:rPr/>
            </w:pPr>
            <w:r>
              <w:rPr/>
              <w:t>Expenses paid on behalf of the Company</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873" w:name="xdx_989_ecustom--OtherPayablesdueToRelat"/>
            <w:bookmarkEnd w:id="873"/>
          </w:p>
        </w:tc>
        <w:tc>
          <w:tcPr>
            <w:tcW w:w="1495" w:type="dxa"/>
            <w:tcBorders/>
            <w:shd w:fill="CCEEFF" w:val="clear"/>
            <w:vAlign w:val="center"/>
          </w:tcPr>
          <w:p>
            <w:pPr>
              <w:pStyle w:val="TableContents"/>
              <w:bidi w:val="0"/>
              <w:spacing w:before="0" w:after="283"/>
              <w:jc w:val="right"/>
              <w:rPr/>
            </w:pPr>
            <w:r>
              <w:rPr/>
              <w:t>95,055</w:t>
            </w:r>
          </w:p>
        </w:tc>
        <w:tc>
          <w:tcPr>
            <w:tcW w:w="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874" w:name="xdx_98A_ecustom--OtherPayablesdueToRelat"/>
            <w:bookmarkEnd w:id="874"/>
          </w:p>
        </w:tc>
        <w:tc>
          <w:tcPr>
            <w:tcW w:w="1166" w:type="dxa"/>
            <w:tcBorders/>
            <w:shd w:fill="CCEEFF" w:val="clear"/>
            <w:vAlign w:val="center"/>
          </w:tcPr>
          <w:p>
            <w:pPr>
              <w:pStyle w:val="TableContents"/>
              <w:bidi w:val="0"/>
              <w:spacing w:before="0" w:after="283"/>
              <w:jc w:val="right"/>
              <w:rPr/>
            </w:pPr>
            <w:r>
              <w:rPr/>
              <w:t>95,044</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3918" w:type="dxa"/>
            <w:tcBorders/>
            <w:shd w:fill="FFFFFF" w:val="clear"/>
            <w:vAlign w:val="center"/>
          </w:tcPr>
          <w:p>
            <w:pPr>
              <w:pStyle w:val="TableContents"/>
              <w:bidi w:val="0"/>
              <w:spacing w:before="0" w:after="283"/>
              <w:jc w:val="left"/>
              <w:rPr/>
            </w:pPr>
            <w:r>
              <w:rPr/>
              <w:t>Qianrui Ding</w:t>
            </w:r>
          </w:p>
        </w:tc>
        <w:tc>
          <w:tcPr>
            <w:tcW w:w="60" w:type="dxa"/>
            <w:tcBorders/>
            <w:shd w:fill="FFFFFF" w:val="clear"/>
            <w:vAlign w:val="center"/>
          </w:tcPr>
          <w:p>
            <w:pPr>
              <w:pStyle w:val="TableContents"/>
              <w:bidi w:val="0"/>
              <w:spacing w:before="0" w:after="283"/>
              <w:jc w:val="left"/>
              <w:rPr/>
            </w:pPr>
            <w:r>
              <w:rPr/>
              <w:t> </w:t>
            </w:r>
          </w:p>
        </w:tc>
        <w:tc>
          <w:tcPr>
            <w:tcW w:w="3101" w:type="dxa"/>
            <w:tcBorders/>
            <w:shd w:fill="FFFFFF" w:val="clear"/>
            <w:vAlign w:val="center"/>
          </w:tcPr>
          <w:p>
            <w:pPr>
              <w:pStyle w:val="TableContents"/>
              <w:bidi w:val="0"/>
              <w:spacing w:before="0" w:after="283"/>
              <w:jc w:val="left"/>
              <w:rPr/>
            </w:pPr>
            <w:r>
              <w:rPr/>
              <w:t>Expenses paid on behalf of the Company</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5" w:name="xdx_983_ecustom--OtherPayablesdueToRelat"/>
            <w:bookmarkEnd w:id="875"/>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r>
              <w:rPr/>
              <w:t>3,500</w:t>
            </w:r>
          </w:p>
        </w:tc>
        <w:tc>
          <w:tcPr>
            <w:tcW w:w="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6" w:name="xdx_981_ecustom--OtherPayablesdueToRelat"/>
            <w:bookmarkEnd w:id="876"/>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3,500</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3918"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31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77" w:name="xdx_984_ecustom--OtherPayablesdueToRelat"/>
            <w:bookmarkEnd w:id="877"/>
          </w:p>
        </w:tc>
        <w:tc>
          <w:tcPr>
            <w:tcW w:w="14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2,322,224</w:t>
            </w:r>
          </w:p>
        </w:tc>
        <w:tc>
          <w:tcPr>
            <w:tcW w:w="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78" w:name="xdx_98E_ecustom--OtherPayablesdueToRelat"/>
            <w:bookmarkEnd w:id="878"/>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2,659,954</w:t>
            </w:r>
          </w:p>
        </w:tc>
        <w:tc>
          <w:tcPr>
            <w:tcW w:w="93"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879" w:name="xdx_8A8_ziHprvMx7kXi"/>
      <w:bookmarkEnd w:id="87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F-33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880" w:name="xdx_236_zYDo1eQF29Dd"/>
      <w:bookmarkEnd w:id="880"/>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 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mainly entered into the following transactions with related parties: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81" w:name="xdx_894_eus-gaap--ScheduleOfRelatedParty"/>
      <w:bookmarkStart w:id="882" w:name="xdx_894_eus-gaap--ScheduleOfRelatedParty"/>
      <w:bookmarkEnd w:id="882"/>
    </w:p>
    <w:tbl>
      <w:tblPr>
        <w:tblW w:w="7238" w:type="dxa"/>
        <w:jc w:val="left"/>
        <w:tblInd w:w="0" w:type="dxa"/>
        <w:tblLayout w:type="fixed"/>
        <w:tblCellMar>
          <w:top w:w="0" w:type="dxa"/>
          <w:left w:w="0" w:type="dxa"/>
          <w:bottom w:w="0" w:type="dxa"/>
          <w:right w:w="0" w:type="dxa"/>
        </w:tblCellMar>
      </w:tblPr>
      <w:tblGrid>
        <w:gridCol w:w="3665"/>
        <w:gridCol w:w="60"/>
        <w:gridCol w:w="91"/>
        <w:gridCol w:w="1491"/>
        <w:gridCol w:w="144"/>
        <w:gridCol w:w="91"/>
        <w:gridCol w:w="91"/>
        <w:gridCol w:w="1491"/>
        <w:gridCol w:w="114"/>
      </w:tblGrid>
      <w:tr>
        <w:trPr/>
        <w:tc>
          <w:tcPr>
            <w:tcW w:w="3665" w:type="dxa"/>
            <w:tcBorders/>
            <w:shd w:fill="FFFFFF" w:val="clear"/>
            <w:vAlign w:val="center"/>
          </w:tcPr>
          <w:p>
            <w:pPr>
              <w:pStyle w:val="TableContents"/>
              <w:bidi w:val="0"/>
              <w:spacing w:before="0" w:after="283"/>
              <w:ind w:left="0" w:right="0" w:hanging="200"/>
              <w:jc w:val="left"/>
              <w:rPr>
                <w:b/>
              </w:rPr>
            </w:pPr>
            <w:bookmarkStart w:id="883" w:name="xdx_8B4_zBKp5qvsAme3"/>
            <w:bookmarkEnd w:id="883"/>
            <w:r>
              <w:rPr>
                <w:b/>
              </w:rPr>
              <w:t>Schedule of related parties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3"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1" w:type="dxa"/>
            <w:tcBorders/>
            <w:vAlign w:val="center"/>
          </w:tcPr>
          <w:p>
            <w:pPr>
              <w:pStyle w:val="TableContents"/>
              <w:bidi w:val="0"/>
              <w:spacing w:before="0" w:after="283"/>
              <w:jc w:val="left"/>
              <w:rPr/>
            </w:pPr>
            <w:r>
              <w:rPr/>
              <w:t> </w:t>
            </w:r>
          </w:p>
        </w:tc>
        <w:tc>
          <w:tcPr>
            <w:tcW w:w="1696"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2026</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6" w:type="dxa"/>
            <w:gridSpan w:val="3"/>
            <w:tcBorders/>
            <w:vAlign w:val="center"/>
          </w:tcPr>
          <w:p>
            <w:pPr>
              <w:pStyle w:val="TableContents"/>
              <w:bidi w:val="0"/>
              <w:spacing w:before="0" w:after="283"/>
              <w:jc w:val="center"/>
              <w:rPr>
                <w:b/>
              </w:rPr>
            </w:pPr>
            <w:r>
              <w:rPr>
                <w:b/>
              </w:rPr>
              <w:t>$US</w:t>
            </w:r>
          </w:p>
        </w:tc>
        <w:tc>
          <w:tcPr>
            <w:tcW w:w="91" w:type="dxa"/>
            <w:tcBorders/>
            <w:vAlign w:val="center"/>
          </w:tcPr>
          <w:p>
            <w:pPr>
              <w:pStyle w:val="TableContents"/>
              <w:bidi w:val="0"/>
              <w:spacing w:before="0" w:after="283"/>
              <w:jc w:val="left"/>
              <w:rPr/>
            </w:pPr>
            <w:r>
              <w:rPr/>
              <w:t> </w:t>
            </w:r>
          </w:p>
        </w:tc>
        <w:tc>
          <w:tcPr>
            <w:tcW w:w="1696" w:type="dxa"/>
            <w:gridSpan w:val="3"/>
            <w:tcBorders/>
            <w:vAlign w:val="center"/>
          </w:tcPr>
          <w:p>
            <w:pPr>
              <w:pStyle w:val="TableContents"/>
              <w:bidi w:val="0"/>
              <w:spacing w:before="0" w:after="283"/>
              <w:ind w:left="0" w:right="0" w:hanging="200"/>
              <w:jc w:val="center"/>
              <w:rPr>
                <w:b/>
              </w:rPr>
            </w:pPr>
            <w:r>
              <w:rPr>
                <w:b/>
              </w:rPr>
              <w:t>$US</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3" w:type="dxa"/>
            <w:gridSpan w:val="7"/>
            <w:tcBorders/>
            <w:vAlign w:val="center"/>
          </w:tcPr>
          <w:p>
            <w:pPr>
              <w:pStyle w:val="TableContents"/>
              <w:bidi w:val="0"/>
              <w:spacing w:before="0" w:after="283"/>
              <w:ind w:left="0" w:right="0" w:hanging="200"/>
              <w:jc w:val="center"/>
              <w:rPr>
                <w:b/>
              </w:rPr>
            </w:pPr>
            <w:r>
              <w:rPr>
                <w:b/>
              </w:rPr>
              <w:t>(Unaudited)</w:t>
            </w:r>
          </w:p>
        </w:tc>
      </w:tr>
      <w:tr>
        <w:trPr/>
        <w:tc>
          <w:tcPr>
            <w:tcW w:w="3665" w:type="dxa"/>
            <w:tcBorders/>
            <w:shd w:fill="CCEEFF" w:val="clear"/>
            <w:vAlign w:val="center"/>
          </w:tcPr>
          <w:p>
            <w:pPr>
              <w:pStyle w:val="TableContents"/>
              <w:bidi w:val="0"/>
              <w:spacing w:before="0" w:after="283"/>
              <w:jc w:val="left"/>
              <w:rPr>
                <w:b/>
              </w:rPr>
            </w:pPr>
            <w:r>
              <w:rPr>
                <w:b/>
              </w:rPr>
              <w:t>Related party sales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3665" w:type="dxa"/>
            <w:tcBorders/>
            <w:shd w:fill="FFFFFF" w:val="clear"/>
            <w:vAlign w:val="center"/>
          </w:tcPr>
          <w:p>
            <w:pPr>
              <w:pStyle w:val="TableContents"/>
              <w:bidi w:val="0"/>
              <w:spacing w:before="0" w:after="283"/>
              <w:jc w:val="left"/>
              <w:rPr/>
            </w:pPr>
            <w:r>
              <w:rPr/>
              <w:t>PSM ZJK</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884" w:name="xdx_98D_eus-gaap--RelatedPartiesAmountIn"/>
            <w:bookmarkEnd w:id="884"/>
          </w:p>
        </w:tc>
        <w:tc>
          <w:tcPr>
            <w:tcW w:w="1491" w:type="dxa"/>
            <w:tcBorders/>
            <w:shd w:fill="FFFFFF" w:val="clear"/>
            <w:vAlign w:val="center"/>
          </w:tcPr>
          <w:p>
            <w:pPr>
              <w:pStyle w:val="TableContents"/>
              <w:bidi w:val="0"/>
              <w:spacing w:before="0" w:after="283"/>
              <w:jc w:val="right"/>
              <w:rPr/>
            </w:pPr>
            <w:r>
              <w:rPr/>
              <w:t>9,549,460</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885" w:name="xdx_98E_eus-gaap--RelatedPartiesAmountIn"/>
            <w:bookmarkEnd w:id="885"/>
          </w:p>
        </w:tc>
        <w:tc>
          <w:tcPr>
            <w:tcW w:w="1491" w:type="dxa"/>
            <w:tcBorders/>
            <w:shd w:fill="FFFFFF" w:val="clear"/>
            <w:vAlign w:val="center"/>
          </w:tcPr>
          <w:p>
            <w:pPr>
              <w:pStyle w:val="TableContents"/>
              <w:bidi w:val="0"/>
              <w:spacing w:before="0" w:after="283"/>
              <w:jc w:val="right"/>
              <w:rPr/>
            </w:pPr>
            <w:r>
              <w:rPr/>
              <w:t>9,355,383</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3665" w:type="dxa"/>
            <w:tcBorders/>
            <w:shd w:fill="FFFFFF" w:val="clear"/>
            <w:vAlign w:val="center"/>
          </w:tcPr>
          <w:p>
            <w:pPr>
              <w:pStyle w:val="TableContents"/>
              <w:bidi w:val="0"/>
              <w:spacing w:before="0" w:after="283"/>
              <w:jc w:val="left"/>
              <w:rPr>
                <w:b/>
              </w:rPr>
            </w:pPr>
            <w:r>
              <w:rPr>
                <w:b/>
              </w:rPr>
              <w:t>Sales Compensation</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886" w:name="xdx_98E_ecustom--SalesCompensation_c2025"/>
            <w:bookmarkEnd w:id="886"/>
          </w:p>
        </w:tc>
        <w:tc>
          <w:tcPr>
            <w:tcW w:w="1491" w:type="dxa"/>
            <w:tcBorders/>
            <w:shd w:fill="CCEEFF" w:val="clear"/>
            <w:vAlign w:val="center"/>
          </w:tcPr>
          <w:p>
            <w:pPr>
              <w:pStyle w:val="TableContents"/>
              <w:bidi w:val="0"/>
              <w:spacing w:before="0" w:after="283"/>
              <w:jc w:val="right"/>
              <w:rPr/>
            </w:pPr>
            <w:r>
              <w:rPr/>
              <w:t>410,292</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887" w:name="xdx_98D_ecustom--SalesCompensation_c2026"/>
            <w:bookmarkEnd w:id="887"/>
          </w:p>
        </w:tc>
        <w:tc>
          <w:tcPr>
            <w:tcW w:w="1491" w:type="dxa"/>
            <w:tcBorders/>
            <w:shd w:fill="CCEEFF" w:val="clear"/>
            <w:vAlign w:val="center"/>
          </w:tcPr>
          <w:p>
            <w:pPr>
              <w:pStyle w:val="TableContents"/>
              <w:bidi w:val="0"/>
              <w:spacing w:before="0" w:after="283"/>
              <w:jc w:val="right"/>
              <w:rPr/>
            </w:pPr>
            <w:r>
              <w:rPr/>
              <w:t>628,728</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shd w:fill="CCEEFF" w:val="clear"/>
            <w:vAlign w:val="center"/>
          </w:tcPr>
          <w:p>
            <w:pPr>
              <w:pStyle w:val="TableContents"/>
              <w:bidi w:val="0"/>
              <w:spacing w:before="0" w:after="283"/>
              <w:jc w:val="left"/>
              <w:rPr>
                <w:b/>
              </w:rPr>
            </w:pPr>
            <w:r>
              <w:rPr>
                <w:b/>
              </w:rPr>
              <w:t>Loan to related parties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3665" w:type="dxa"/>
            <w:tcBorders/>
            <w:shd w:fill="FFFFFF" w:val="clear"/>
            <w:vAlign w:val="center"/>
          </w:tcPr>
          <w:p>
            <w:pPr>
              <w:pStyle w:val="TableContents"/>
              <w:bidi w:val="0"/>
              <w:spacing w:before="0" w:after="283"/>
              <w:jc w:val="left"/>
              <w:rPr/>
            </w:pPr>
            <w:r>
              <w:rPr/>
              <w:t>Ning Ding</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888" w:name="xdx_98E_eus-gaap--LoansAndLeasesReceivab"/>
            <w:bookmarkEnd w:id="888"/>
          </w:p>
        </w:tc>
        <w:tc>
          <w:tcPr>
            <w:tcW w:w="1491" w:type="dxa"/>
            <w:tcBorders/>
            <w:shd w:fill="FFFFFF" w:val="clear"/>
            <w:vAlign w:val="center"/>
          </w:tcPr>
          <w:p>
            <w:pPr>
              <w:pStyle w:val="TableContents"/>
              <w:bidi w:val="0"/>
              <w:spacing w:before="0" w:after="283"/>
              <w:jc w:val="right"/>
              <w:rPr/>
            </w:pPr>
            <w:r>
              <w:rPr/>
              <w:t>(239,336</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889" w:name="xdx_988_eus-gaap--LoansAndLeasesReceivab"/>
            <w:bookmarkEnd w:id="889"/>
          </w:p>
        </w:tc>
        <w:tc>
          <w:tcPr>
            <w:tcW w:w="1491"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shd w:fill="CCEEFF" w:val="clear"/>
            <w:vAlign w:val="center"/>
          </w:tcPr>
          <w:p>
            <w:pPr>
              <w:pStyle w:val="TableContents"/>
              <w:bidi w:val="0"/>
              <w:spacing w:before="0" w:after="283"/>
              <w:jc w:val="left"/>
              <w:rPr/>
            </w:pPr>
            <w:r>
              <w:rPr/>
              <w:t>Kai Ding</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890" w:name="xdx_98D_eus-gaap--LoansAndLeasesReceivab"/>
            <w:bookmarkEnd w:id="890"/>
          </w:p>
        </w:tc>
        <w:tc>
          <w:tcPr>
            <w:tcW w:w="1491" w:type="dxa"/>
            <w:tcBorders/>
            <w:shd w:fill="CCEEFF" w:val="clear"/>
            <w:vAlign w:val="center"/>
          </w:tcPr>
          <w:p>
            <w:pPr>
              <w:pStyle w:val="TableContents"/>
              <w:bidi w:val="0"/>
              <w:spacing w:before="0" w:after="283"/>
              <w:jc w:val="right"/>
              <w:rPr/>
            </w:pPr>
            <w:r>
              <w:rPr/>
              <w:t>(69,101</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891" w:name="xdx_98A_eus-gaap--LoansAndLeasesReceivab"/>
            <w:bookmarkEnd w:id="891"/>
          </w:p>
        </w:tc>
        <w:tc>
          <w:tcPr>
            <w:tcW w:w="149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3665" w:type="dxa"/>
            <w:tcBorders/>
            <w:shd w:fill="FFFFFF" w:val="clear"/>
            <w:vAlign w:val="center"/>
          </w:tcPr>
          <w:p>
            <w:pPr>
              <w:pStyle w:val="TableContents"/>
              <w:bidi w:val="0"/>
              <w:spacing w:before="0" w:after="283"/>
              <w:jc w:val="left"/>
              <w:rPr/>
            </w:pPr>
            <w:r>
              <w:rPr/>
              <w:t>Dongxin Zhou</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892" w:name="xdx_986_eus-gaap--LoansAndLeasesReceivab"/>
            <w:bookmarkEnd w:id="892"/>
          </w:p>
        </w:tc>
        <w:tc>
          <w:tcPr>
            <w:tcW w:w="1491" w:type="dxa"/>
            <w:tcBorders/>
            <w:shd w:fill="FFFFFF" w:val="clear"/>
            <w:vAlign w:val="center"/>
          </w:tcPr>
          <w:p>
            <w:pPr>
              <w:pStyle w:val="TableContents"/>
              <w:bidi w:val="0"/>
              <w:spacing w:before="0" w:after="283"/>
              <w:jc w:val="right"/>
              <w:rPr/>
            </w:pPr>
            <w:r>
              <w:rPr/>
              <w:t>(2,073</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893" w:name="xdx_987_eus-gaap--LoansAndLeasesReceivab"/>
            <w:bookmarkEnd w:id="893"/>
          </w:p>
        </w:tc>
        <w:tc>
          <w:tcPr>
            <w:tcW w:w="1491"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3665" w:type="dxa"/>
            <w:tcBorders/>
            <w:shd w:fill="FFFFFF" w:val="clear"/>
            <w:vAlign w:val="center"/>
          </w:tcPr>
          <w:p>
            <w:pPr>
              <w:pStyle w:val="TableContents"/>
              <w:bidi w:val="0"/>
              <w:spacing w:before="0" w:after="283"/>
              <w:jc w:val="left"/>
              <w:rPr>
                <w:b/>
              </w:rPr>
            </w:pPr>
            <w:r>
              <w:rPr>
                <w:b/>
              </w:rPr>
              <w:t>Collection of loans to related parties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shd w:fill="CCEEFF" w:val="clear"/>
            <w:vAlign w:val="center"/>
          </w:tcPr>
          <w:p>
            <w:pPr>
              <w:pStyle w:val="TableContents"/>
              <w:bidi w:val="0"/>
              <w:spacing w:before="0" w:after="283"/>
              <w:jc w:val="left"/>
              <w:rPr/>
            </w:pPr>
            <w:r>
              <w:rPr/>
              <w:t>Ning Ding</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894" w:name="xdx_98E_eus-gaap--ProceedsFromCollection"/>
            <w:bookmarkEnd w:id="894"/>
          </w:p>
        </w:tc>
        <w:tc>
          <w:tcPr>
            <w:tcW w:w="1491" w:type="dxa"/>
            <w:tcBorders/>
            <w:shd w:fill="CCEEFF" w:val="clear"/>
            <w:vAlign w:val="center"/>
          </w:tcPr>
          <w:p>
            <w:pPr>
              <w:pStyle w:val="TableContents"/>
              <w:bidi w:val="0"/>
              <w:spacing w:before="0" w:after="283"/>
              <w:jc w:val="right"/>
              <w:rPr/>
            </w:pPr>
            <w:r>
              <w:rPr/>
              <w:t>41,461</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895" w:name="xdx_989_eus-gaap--ProceedsFromCollection"/>
            <w:bookmarkEnd w:id="895"/>
          </w:p>
        </w:tc>
        <w:tc>
          <w:tcPr>
            <w:tcW w:w="149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3665" w:type="dxa"/>
            <w:tcBorders/>
            <w:shd w:fill="FFFFFF" w:val="clear"/>
            <w:vAlign w:val="center"/>
          </w:tcPr>
          <w:p>
            <w:pPr>
              <w:pStyle w:val="TableContents"/>
              <w:bidi w:val="0"/>
              <w:spacing w:before="0" w:after="283"/>
              <w:jc w:val="left"/>
              <w:rPr/>
            </w:pPr>
            <w:r>
              <w:rPr/>
              <w:t>Kai Ding</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896" w:name="xdx_982_eus-gaap--ProceedsFromCollection"/>
            <w:bookmarkEnd w:id="896"/>
          </w:p>
        </w:tc>
        <w:tc>
          <w:tcPr>
            <w:tcW w:w="1491" w:type="dxa"/>
            <w:tcBorders/>
            <w:shd w:fill="FFFFFF" w:val="clear"/>
            <w:vAlign w:val="center"/>
          </w:tcPr>
          <w:p>
            <w:pPr>
              <w:pStyle w:val="TableContents"/>
              <w:bidi w:val="0"/>
              <w:spacing w:before="0" w:after="283"/>
              <w:jc w:val="right"/>
              <w:rPr/>
            </w:pPr>
            <w:r>
              <w:rPr/>
              <w:t>69,101</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897" w:name="xdx_988_eus-gaap--ProceedsFromCollection"/>
            <w:bookmarkEnd w:id="897"/>
          </w:p>
        </w:tc>
        <w:tc>
          <w:tcPr>
            <w:tcW w:w="1491"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shd w:fill="CCEEFF" w:val="clear"/>
            <w:vAlign w:val="center"/>
          </w:tcPr>
          <w:p>
            <w:pPr>
              <w:pStyle w:val="TableContents"/>
              <w:bidi w:val="0"/>
              <w:spacing w:before="0" w:after="283"/>
              <w:jc w:val="left"/>
              <w:rPr/>
            </w:pPr>
            <w:r>
              <w:rPr/>
              <w:t>Kai Huang</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898" w:name="xdx_988_eus-gaap--ProceedsFromCollection"/>
            <w:bookmarkEnd w:id="898"/>
          </w:p>
        </w:tc>
        <w:tc>
          <w:tcPr>
            <w:tcW w:w="1491" w:type="dxa"/>
            <w:tcBorders/>
            <w:shd w:fill="CCEEFF" w:val="clear"/>
            <w:vAlign w:val="center"/>
          </w:tcPr>
          <w:p>
            <w:pPr>
              <w:pStyle w:val="TableContents"/>
              <w:bidi w:val="0"/>
              <w:spacing w:before="0" w:after="283"/>
              <w:jc w:val="right"/>
              <w:rPr/>
            </w:pPr>
            <w:r>
              <w:rPr/>
              <w:t>68,474</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899" w:name="xdx_98F_eus-gaap--ProceedsFromCollection"/>
            <w:bookmarkEnd w:id="899"/>
          </w:p>
        </w:tc>
        <w:tc>
          <w:tcPr>
            <w:tcW w:w="149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3665" w:type="dxa"/>
            <w:tcBorders/>
            <w:shd w:fill="FFFFFF" w:val="clear"/>
            <w:vAlign w:val="center"/>
          </w:tcPr>
          <w:p>
            <w:pPr>
              <w:pStyle w:val="TableContents"/>
              <w:bidi w:val="0"/>
              <w:spacing w:before="0" w:after="283"/>
              <w:jc w:val="left"/>
              <w:rPr/>
            </w:pPr>
            <w:r>
              <w:rPr/>
              <w:t>Baozhen Zhu</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900" w:name="xdx_987_eus-gaap--ProceedsFromCollection"/>
            <w:bookmarkEnd w:id="900"/>
          </w:p>
        </w:tc>
        <w:tc>
          <w:tcPr>
            <w:tcW w:w="1491" w:type="dxa"/>
            <w:tcBorders/>
            <w:shd w:fill="FFFFFF" w:val="clear"/>
            <w:vAlign w:val="center"/>
          </w:tcPr>
          <w:p>
            <w:pPr>
              <w:pStyle w:val="TableContents"/>
              <w:bidi w:val="0"/>
              <w:spacing w:before="0" w:after="283"/>
              <w:jc w:val="right"/>
              <w:rPr/>
            </w:pPr>
            <w:r>
              <w:rPr/>
              <w:t>—</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901" w:name="xdx_983_eus-gaap--ProceedsFromCollection"/>
            <w:bookmarkEnd w:id="901"/>
          </w:p>
        </w:tc>
        <w:tc>
          <w:tcPr>
            <w:tcW w:w="1491" w:type="dxa"/>
            <w:tcBorders/>
            <w:shd w:fill="FFFFFF" w:val="clear"/>
            <w:vAlign w:val="center"/>
          </w:tcPr>
          <w:p>
            <w:pPr>
              <w:pStyle w:val="TableContents"/>
              <w:bidi w:val="0"/>
              <w:spacing w:before="0" w:after="283"/>
              <w:jc w:val="right"/>
              <w:rPr/>
            </w:pPr>
            <w:r>
              <w:rPr/>
              <w:t>5,152</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shd w:fill="CCEEFF" w:val="clear"/>
            <w:vAlign w:val="center"/>
          </w:tcPr>
          <w:p>
            <w:pPr>
              <w:pStyle w:val="TableContents"/>
              <w:bidi w:val="0"/>
              <w:spacing w:before="0" w:after="283"/>
              <w:jc w:val="left"/>
              <w:rPr/>
            </w:pPr>
            <w:r>
              <w:rPr/>
              <w:t>Meigui Zeng</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902" w:name="xdx_984_eus-gaap--ProceedsFromCollection"/>
            <w:bookmarkEnd w:id="902"/>
          </w:p>
        </w:tc>
        <w:tc>
          <w:tcPr>
            <w:tcW w:w="1491" w:type="dxa"/>
            <w:tcBorders/>
            <w:shd w:fill="CCEEFF" w:val="clear"/>
            <w:vAlign w:val="center"/>
          </w:tcPr>
          <w:p>
            <w:pPr>
              <w:pStyle w:val="TableContents"/>
              <w:bidi w:val="0"/>
              <w:spacing w:before="0" w:after="283"/>
              <w:jc w:val="right"/>
              <w:rPr/>
            </w:pPr>
            <w:r>
              <w:rPr/>
              <w:t>—</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903" w:name="xdx_98C_eus-gaap--ProceedsFromCollection"/>
            <w:bookmarkEnd w:id="903"/>
          </w:p>
        </w:tc>
        <w:tc>
          <w:tcPr>
            <w:tcW w:w="1491" w:type="dxa"/>
            <w:tcBorders/>
            <w:shd w:fill="CCEEFF" w:val="clear"/>
            <w:vAlign w:val="center"/>
          </w:tcPr>
          <w:p>
            <w:pPr>
              <w:pStyle w:val="TableContents"/>
              <w:bidi w:val="0"/>
              <w:spacing w:before="0" w:after="283"/>
              <w:jc w:val="right"/>
              <w:rPr/>
            </w:pPr>
            <w:r>
              <w:rPr/>
              <w:t>5,152</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3665" w:type="dxa"/>
            <w:tcBorders/>
            <w:shd w:fill="FFFFFF" w:val="clear"/>
            <w:vAlign w:val="center"/>
          </w:tcPr>
          <w:p>
            <w:pPr>
              <w:pStyle w:val="TableContents"/>
              <w:bidi w:val="0"/>
              <w:spacing w:before="0" w:after="283"/>
              <w:jc w:val="left"/>
              <w:rPr/>
            </w:pPr>
            <w:r>
              <w:rPr/>
              <w:t>Dongxin Zhou</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904" w:name="xdx_98F_eus-gaap--ProceedsFromCollection"/>
            <w:bookmarkEnd w:id="904"/>
          </w:p>
        </w:tc>
        <w:tc>
          <w:tcPr>
            <w:tcW w:w="1491" w:type="dxa"/>
            <w:tcBorders/>
            <w:shd w:fill="FFFFFF" w:val="clear"/>
            <w:vAlign w:val="center"/>
          </w:tcPr>
          <w:p>
            <w:pPr>
              <w:pStyle w:val="TableContents"/>
              <w:bidi w:val="0"/>
              <w:spacing w:before="0" w:after="283"/>
              <w:jc w:val="right"/>
              <w:rPr/>
            </w:pPr>
            <w:r>
              <w:rPr/>
              <w:t>—</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905" w:name="xdx_98A_eus-gaap--ProceedsFromCollection"/>
            <w:bookmarkEnd w:id="905"/>
          </w:p>
        </w:tc>
        <w:tc>
          <w:tcPr>
            <w:tcW w:w="1491" w:type="dxa"/>
            <w:tcBorders/>
            <w:shd w:fill="FFFFFF" w:val="clear"/>
            <w:vAlign w:val="center"/>
          </w:tcPr>
          <w:p>
            <w:pPr>
              <w:pStyle w:val="TableContents"/>
              <w:bidi w:val="0"/>
              <w:spacing w:before="0" w:after="283"/>
              <w:jc w:val="right"/>
              <w:rPr/>
            </w:pPr>
            <w:r>
              <w:rPr/>
              <w:t>2,145</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3665" w:type="dxa"/>
            <w:tcBorders/>
            <w:shd w:fill="FFFFFF" w:val="clear"/>
            <w:vAlign w:val="center"/>
          </w:tcPr>
          <w:p>
            <w:pPr>
              <w:pStyle w:val="TableContents"/>
              <w:bidi w:val="0"/>
              <w:spacing w:before="0" w:after="283"/>
              <w:jc w:val="left"/>
              <w:rPr>
                <w:b/>
              </w:rPr>
            </w:pPr>
            <w:r>
              <w:rPr>
                <w:b/>
              </w:rPr>
              <w:t>Rental income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shd w:fill="CCEEFF" w:val="clear"/>
            <w:vAlign w:val="center"/>
          </w:tcPr>
          <w:p>
            <w:pPr>
              <w:pStyle w:val="TableContents"/>
              <w:bidi w:val="0"/>
              <w:spacing w:before="0" w:after="283"/>
              <w:jc w:val="left"/>
              <w:rPr/>
            </w:pPr>
            <w:r>
              <w:rPr/>
              <w:t>PSM-ZJK</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906" w:name="xdx_989_eus-gaap--RentalIncomeNonoperati"/>
            <w:bookmarkEnd w:id="906"/>
          </w:p>
        </w:tc>
        <w:tc>
          <w:tcPr>
            <w:tcW w:w="1491" w:type="dxa"/>
            <w:tcBorders/>
            <w:shd w:fill="CCEEFF" w:val="clear"/>
            <w:vAlign w:val="center"/>
          </w:tcPr>
          <w:p>
            <w:pPr>
              <w:pStyle w:val="TableContents"/>
              <w:bidi w:val="0"/>
              <w:spacing w:before="0" w:after="283"/>
              <w:jc w:val="right"/>
              <w:rPr/>
            </w:pPr>
            <w:r>
              <w:rPr/>
              <w:t>39,696</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907" w:name="xdx_982_eus-gaap--RentalIncomeNonoperati"/>
            <w:bookmarkEnd w:id="907"/>
          </w:p>
        </w:tc>
        <w:tc>
          <w:tcPr>
            <w:tcW w:w="1491" w:type="dxa"/>
            <w:tcBorders/>
            <w:shd w:fill="CCEEFF" w:val="clear"/>
            <w:vAlign w:val="center"/>
          </w:tcPr>
          <w:p>
            <w:pPr>
              <w:pStyle w:val="TableContents"/>
              <w:bidi w:val="0"/>
              <w:spacing w:before="0" w:after="283"/>
              <w:jc w:val="right"/>
              <w:rPr/>
            </w:pPr>
            <w:r>
              <w:rPr/>
              <w:t>40,622</w:t>
            </w:r>
          </w:p>
        </w:tc>
        <w:tc>
          <w:tcPr>
            <w:tcW w:w="114"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908" w:name="xdx_8A0_zENtp1FiV9hc"/>
      <w:bookmarkEnd w:id="908"/>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909" w:name="xdx_802_ecustom--RevenueTextBlock_zXg7il"/>
      <w:bookmarkEnd w:id="909"/>
      <w:r>
        <w:rPr>
          <w:rFonts w:ascii="Times New Roman;Times;Serif" w:hAnsi="Times New Roman;Times;Serif"/>
          <w:b/>
          <w:i w:val="false"/>
          <w:caps w:val="false"/>
          <w:smallCaps w:val="false"/>
          <w:sz w:val="20"/>
        </w:rPr>
        <w:t xml:space="preserve">18. </w:t>
      </w:r>
      <w:bookmarkStart w:id="910" w:name="xdx_828_zOULcn6uumT5"/>
      <w:bookmarkEnd w:id="910"/>
      <w:r>
        <w:rPr>
          <w:rFonts w:ascii="Times New Roman;Times;Serif" w:hAnsi="Times New Roman;Times;Serif"/>
          <w:b/>
          <w:i w:val="false"/>
          <w:caps w:val="false"/>
          <w:smallCaps w:val="false"/>
          <w:sz w:val="20"/>
        </w:rPr>
        <w:t>REVENUE</w:t>
      </w:r>
    </w:p>
    <w:p>
      <w:pPr>
        <w:pStyle w:val="TextBody"/>
        <w:bidi w:val="0"/>
        <w:ind w:left="647" w:right="0" w:hanging="647"/>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disaggregated revenues are represented by two categories which are type of customers and by geographic areas. The Company attributed revenues to geographic areas based on customers’ place of registration.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Type of Customers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11" w:name="xdx_893_eus-gaap--ScheduleOfRevenueByMaj"/>
      <w:bookmarkStart w:id="912" w:name="xdx_893_eus-gaap--ScheduleOfRevenueByMaj"/>
      <w:bookmarkEnd w:id="912"/>
    </w:p>
    <w:tbl>
      <w:tblPr>
        <w:tblW w:w="6545" w:type="dxa"/>
        <w:jc w:val="left"/>
        <w:tblInd w:w="0" w:type="dxa"/>
        <w:tblLayout w:type="fixed"/>
        <w:tblCellMar>
          <w:top w:w="0" w:type="dxa"/>
          <w:left w:w="0" w:type="dxa"/>
          <w:bottom w:w="0" w:type="dxa"/>
          <w:right w:w="0" w:type="dxa"/>
        </w:tblCellMar>
      </w:tblPr>
      <w:tblGrid>
        <w:gridCol w:w="2975"/>
        <w:gridCol w:w="60"/>
        <w:gridCol w:w="83"/>
        <w:gridCol w:w="1537"/>
        <w:gridCol w:w="83"/>
        <w:gridCol w:w="83"/>
        <w:gridCol w:w="83"/>
        <w:gridCol w:w="1537"/>
        <w:gridCol w:w="104"/>
      </w:tblGrid>
      <w:tr>
        <w:trPr/>
        <w:tc>
          <w:tcPr>
            <w:tcW w:w="2975" w:type="dxa"/>
            <w:tcBorders/>
            <w:vAlign w:val="center"/>
          </w:tcPr>
          <w:p>
            <w:pPr>
              <w:pStyle w:val="TableContents"/>
              <w:bidi w:val="0"/>
              <w:spacing w:before="0" w:after="283"/>
              <w:ind w:left="0" w:right="0" w:hanging="200"/>
              <w:jc w:val="center"/>
              <w:rPr/>
            </w:pPr>
            <w:bookmarkStart w:id="913" w:name="xdx_8B7_zvc4OZq1M7Fk"/>
            <w:bookmarkEnd w:id="913"/>
            <w:r>
              <w:rPr/>
              <w:t>Schedule of Type of customers</w:t>
            </w:r>
          </w:p>
        </w:tc>
        <w:tc>
          <w:tcPr>
            <w:tcW w:w="60" w:type="dxa"/>
            <w:tcBorders/>
            <w:vAlign w:val="center"/>
          </w:tcPr>
          <w:p>
            <w:pPr>
              <w:pStyle w:val="TableContents"/>
              <w:bidi w:val="0"/>
              <w:spacing w:before="0" w:after="283"/>
              <w:jc w:val="left"/>
              <w:rPr/>
            </w:pPr>
            <w:r>
              <w:rPr/>
              <w:t> </w:t>
            </w:r>
          </w:p>
        </w:tc>
        <w:tc>
          <w:tcPr>
            <w:tcW w:w="3510" w:type="dxa"/>
            <w:gridSpan w:val="7"/>
            <w:tcBorders/>
            <w:vAlign w:val="center"/>
          </w:tcPr>
          <w:p>
            <w:pPr>
              <w:pStyle w:val="TableContents"/>
              <w:bidi w:val="0"/>
              <w:spacing w:before="0" w:after="283"/>
              <w:ind w:left="0" w:right="0" w:hanging="200"/>
              <w:jc w:val="center"/>
              <w:rPr/>
            </w:pPr>
            <w:r>
              <w:rPr/>
              <w:t> </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0"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0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3" w:type="dxa"/>
            <w:tcBorders/>
            <w:vAlign w:val="center"/>
          </w:tcPr>
          <w:p>
            <w:pPr>
              <w:pStyle w:val="TableContents"/>
              <w:bidi w:val="0"/>
              <w:spacing w:before="0" w:after="283"/>
              <w:jc w:val="left"/>
              <w:rPr/>
            </w:pPr>
            <w:r>
              <w:rPr/>
              <w:t> </w:t>
            </w:r>
          </w:p>
        </w:tc>
        <w:tc>
          <w:tcPr>
            <w:tcW w:w="1724"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2026</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03" w:type="dxa"/>
            <w:gridSpan w:val="3"/>
            <w:tcBorders/>
            <w:vAlign w:val="center"/>
          </w:tcPr>
          <w:p>
            <w:pPr>
              <w:pStyle w:val="TableContents"/>
              <w:bidi w:val="0"/>
              <w:spacing w:before="0" w:after="283"/>
              <w:jc w:val="center"/>
              <w:rPr>
                <w:b/>
              </w:rPr>
            </w:pPr>
            <w:r>
              <w:rPr>
                <w:b/>
              </w:rPr>
              <w:t>$US</w:t>
            </w:r>
          </w:p>
        </w:tc>
        <w:tc>
          <w:tcPr>
            <w:tcW w:w="83" w:type="dxa"/>
            <w:tcBorders/>
            <w:vAlign w:val="center"/>
          </w:tcPr>
          <w:p>
            <w:pPr>
              <w:pStyle w:val="TableContents"/>
              <w:bidi w:val="0"/>
              <w:spacing w:before="0" w:after="283"/>
              <w:jc w:val="left"/>
              <w:rPr/>
            </w:pPr>
            <w:r>
              <w:rPr/>
              <w:t> </w:t>
            </w:r>
          </w:p>
        </w:tc>
        <w:tc>
          <w:tcPr>
            <w:tcW w:w="1724" w:type="dxa"/>
            <w:gridSpan w:val="3"/>
            <w:tcBorders/>
            <w:vAlign w:val="center"/>
          </w:tcPr>
          <w:p>
            <w:pPr>
              <w:pStyle w:val="TableContents"/>
              <w:bidi w:val="0"/>
              <w:spacing w:before="0" w:after="283"/>
              <w:ind w:left="0" w:right="0" w:hanging="200"/>
              <w:jc w:val="center"/>
              <w:rPr>
                <w:b/>
              </w:rPr>
            </w:pPr>
            <w:r>
              <w:rPr>
                <w:b/>
              </w:rPr>
              <w:t>$US</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0" w:type="dxa"/>
            <w:gridSpan w:val="7"/>
            <w:tcBorders/>
            <w:vAlign w:val="center"/>
          </w:tcPr>
          <w:p>
            <w:pPr>
              <w:pStyle w:val="TableContents"/>
              <w:bidi w:val="0"/>
              <w:spacing w:before="0" w:after="283"/>
              <w:ind w:left="0" w:right="0" w:hanging="200"/>
              <w:jc w:val="center"/>
              <w:rPr>
                <w:b/>
              </w:rPr>
            </w:pPr>
            <w:r>
              <w:rPr>
                <w:b/>
              </w:rPr>
              <w:t>(Unaudited)</w:t>
            </w:r>
          </w:p>
        </w:tc>
      </w:tr>
      <w:tr>
        <w:trPr/>
        <w:tc>
          <w:tcPr>
            <w:tcW w:w="2975" w:type="dxa"/>
            <w:tcBorders/>
            <w:shd w:fill="CCEEFF" w:val="clear"/>
            <w:vAlign w:val="center"/>
          </w:tcPr>
          <w:p>
            <w:pPr>
              <w:pStyle w:val="TableContents"/>
              <w:bidi w:val="0"/>
              <w:spacing w:before="0" w:after="283"/>
              <w:jc w:val="left"/>
              <w:rPr/>
            </w:pPr>
            <w:r>
              <w:rPr/>
              <w:t>Third-party sales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914" w:name="xdx_984_eus-gaap--Revenues_pp0p0_c202501"/>
            <w:bookmarkEnd w:id="914"/>
          </w:p>
        </w:tc>
        <w:tc>
          <w:tcPr>
            <w:tcW w:w="1537" w:type="dxa"/>
            <w:tcBorders/>
            <w:shd w:fill="CCEEFF" w:val="clear"/>
            <w:vAlign w:val="center"/>
          </w:tcPr>
          <w:p>
            <w:pPr>
              <w:pStyle w:val="TableContents"/>
              <w:bidi w:val="0"/>
              <w:spacing w:before="0" w:after="283"/>
              <w:jc w:val="right"/>
              <w:rPr/>
            </w:pPr>
            <w:r>
              <w:rPr/>
              <w:t>15,153,800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915" w:name="xdx_980_eus-gaap--Revenues_pp0p0_c202601"/>
            <w:bookmarkEnd w:id="915"/>
          </w:p>
        </w:tc>
        <w:tc>
          <w:tcPr>
            <w:tcW w:w="1537" w:type="dxa"/>
            <w:tcBorders/>
            <w:shd w:fill="CCEEFF" w:val="clear"/>
            <w:vAlign w:val="center"/>
          </w:tcPr>
          <w:p>
            <w:pPr>
              <w:pStyle w:val="TableContents"/>
              <w:bidi w:val="0"/>
              <w:spacing w:before="0" w:after="283"/>
              <w:jc w:val="right"/>
              <w:rPr/>
            </w:pPr>
            <w:r>
              <w:rPr/>
              <w:t>24,389,206</w:t>
            </w:r>
          </w:p>
        </w:tc>
        <w:tc>
          <w:tcPr>
            <w:tcW w:w="104" w:type="dxa"/>
            <w:tcBorders/>
            <w:shd w:fill="CCEEFF" w:val="clear"/>
            <w:vAlign w:val="center"/>
          </w:tcPr>
          <w:p>
            <w:pPr>
              <w:pStyle w:val="TableContents"/>
              <w:bidi w:val="0"/>
              <w:spacing w:before="0" w:after="283"/>
              <w:ind w:left="0" w:right="0" w:hanging="200"/>
              <w:jc w:val="left"/>
              <w:rPr/>
            </w:pPr>
            <w:r>
              <w:rPr/>
              <w:t> </w:t>
            </w:r>
          </w:p>
        </w:tc>
      </w:tr>
      <w:tr>
        <w:trPr/>
        <w:tc>
          <w:tcPr>
            <w:tcW w:w="2975" w:type="dxa"/>
            <w:tcBorders/>
            <w:shd w:fill="FFFFFF" w:val="clear"/>
            <w:vAlign w:val="center"/>
          </w:tcPr>
          <w:p>
            <w:pPr>
              <w:pStyle w:val="TableContents"/>
              <w:bidi w:val="0"/>
              <w:spacing w:before="0" w:after="283"/>
              <w:jc w:val="left"/>
              <w:rPr/>
            </w:pPr>
            <w:r>
              <w:rPr/>
              <w:t>Related-party sales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6" w:name="xdx_98E_eus-gaap--Revenues_pp0p0_c202501"/>
            <w:bookmarkEnd w:id="916"/>
          </w:p>
        </w:tc>
        <w:tc>
          <w:tcPr>
            <w:tcW w:w="1537" w:type="dxa"/>
            <w:tcBorders>
              <w:bottom w:val="single" w:sz="8" w:space="0" w:color="000000"/>
            </w:tcBorders>
            <w:shd w:fill="FFFFFF" w:val="clear"/>
            <w:tcMar>
              <w:bottom w:w="28" w:type="dxa"/>
            </w:tcMar>
            <w:vAlign w:val="center"/>
          </w:tcPr>
          <w:p>
            <w:pPr>
              <w:pStyle w:val="TableContents"/>
              <w:bidi w:val="0"/>
              <w:spacing w:before="0" w:after="283"/>
              <w:jc w:val="right"/>
              <w:rPr/>
            </w:pPr>
            <w:r>
              <w:rPr/>
              <w:t>9,549,460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7" w:name="xdx_98B_eus-gaap--Revenues_pp0p0_c202601"/>
            <w:bookmarkEnd w:id="917"/>
          </w:p>
        </w:tc>
        <w:tc>
          <w:tcPr>
            <w:tcW w:w="1537" w:type="dxa"/>
            <w:tcBorders>
              <w:bottom w:val="single" w:sz="8" w:space="0" w:color="000000"/>
            </w:tcBorders>
            <w:shd w:fill="FFFFFF" w:val="clear"/>
            <w:tcMar>
              <w:bottom w:w="28" w:type="dxa"/>
            </w:tcMar>
            <w:vAlign w:val="center"/>
          </w:tcPr>
          <w:p>
            <w:pPr>
              <w:pStyle w:val="TableContents"/>
              <w:bidi w:val="0"/>
              <w:spacing w:before="0" w:after="283"/>
              <w:jc w:val="right"/>
              <w:rPr/>
            </w:pPr>
            <w:r>
              <w:rPr/>
              <w:t>9,355,383</w:t>
            </w:r>
          </w:p>
        </w:tc>
        <w:tc>
          <w:tcPr>
            <w:tcW w:w="104" w:type="dxa"/>
            <w:tcBorders/>
            <w:shd w:fill="FFFFFF" w:val="clear"/>
            <w:vAlign w:val="center"/>
          </w:tcPr>
          <w:p>
            <w:pPr>
              <w:pStyle w:val="TableContents"/>
              <w:bidi w:val="0"/>
              <w:spacing w:before="0" w:after="283"/>
              <w:ind w:left="0" w:right="0" w:hanging="200"/>
              <w:jc w:val="left"/>
              <w:rPr/>
            </w:pPr>
            <w:r>
              <w:rPr/>
              <w:t> </w:t>
            </w:r>
          </w:p>
        </w:tc>
      </w:tr>
      <w:tr>
        <w:trPr/>
        <w:tc>
          <w:tcPr>
            <w:tcW w:w="297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18" w:name="xdx_98B_eus-gaap--Revenues_pp0p0_c202501"/>
            <w:bookmarkEnd w:id="918"/>
          </w:p>
        </w:tc>
        <w:tc>
          <w:tcPr>
            <w:tcW w:w="15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24,703,260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19" w:name="xdx_98C_eus-gaap--Revenues_pp0p0_c202601"/>
            <w:bookmarkEnd w:id="919"/>
          </w:p>
        </w:tc>
        <w:tc>
          <w:tcPr>
            <w:tcW w:w="15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33,744,589</w:t>
            </w:r>
          </w:p>
        </w:tc>
        <w:tc>
          <w:tcPr>
            <w:tcW w:w="104"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920" w:name="xdx_8AD_zimlICEdIBtf"/>
      <w:bookmarkEnd w:id="920"/>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 Geographic Areas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21" w:name="xdx_893_ecustom--ScheduleOfRevenueFromEx"/>
      <w:bookmarkStart w:id="922" w:name="xdx_893_ecustom--ScheduleOfRevenueFromEx"/>
      <w:bookmarkEnd w:id="922"/>
    </w:p>
    <w:tbl>
      <w:tblPr>
        <w:tblW w:w="7280" w:type="dxa"/>
        <w:jc w:val="left"/>
        <w:tblInd w:w="0" w:type="dxa"/>
        <w:tblLayout w:type="fixed"/>
        <w:tblCellMar>
          <w:top w:w="0" w:type="dxa"/>
          <w:left w:w="0" w:type="dxa"/>
          <w:bottom w:w="0" w:type="dxa"/>
          <w:right w:w="0" w:type="dxa"/>
        </w:tblCellMar>
      </w:tblPr>
      <w:tblGrid>
        <w:gridCol w:w="3710"/>
        <w:gridCol w:w="60"/>
        <w:gridCol w:w="83"/>
        <w:gridCol w:w="1537"/>
        <w:gridCol w:w="83"/>
        <w:gridCol w:w="83"/>
        <w:gridCol w:w="83"/>
        <w:gridCol w:w="1537"/>
        <w:gridCol w:w="104"/>
      </w:tblGrid>
      <w:tr>
        <w:trPr/>
        <w:tc>
          <w:tcPr>
            <w:tcW w:w="3710" w:type="dxa"/>
            <w:tcBorders/>
            <w:shd w:fill="FFFFFF" w:val="clear"/>
            <w:vAlign w:val="center"/>
          </w:tcPr>
          <w:p>
            <w:pPr>
              <w:pStyle w:val="TableContents"/>
              <w:bidi w:val="0"/>
              <w:spacing w:before="0" w:after="283"/>
              <w:ind w:left="0" w:right="0" w:hanging="200"/>
              <w:jc w:val="left"/>
              <w:rPr/>
            </w:pPr>
            <w:bookmarkStart w:id="923" w:name="xdx_8B0_zqdsxnTQBqM8"/>
            <w:bookmarkEnd w:id="923"/>
            <w:r>
              <w:rPr/>
              <w:t>Schedule of revenues geographic areas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200"/>
              <w:jc w:val="left"/>
              <w:rPr/>
            </w:pPr>
            <w:r>
              <w:rPr/>
              <w:t> </w:t>
            </w:r>
          </w:p>
        </w:tc>
      </w:tr>
      <w:tr>
        <w:trPr/>
        <w:tc>
          <w:tcPr>
            <w:tcW w:w="3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0"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w:t>
            </w:r>
          </w:p>
        </w:tc>
      </w:tr>
      <w:tr>
        <w:trPr/>
        <w:tc>
          <w:tcPr>
            <w:tcW w:w="3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0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3" w:type="dxa"/>
            <w:tcBorders/>
            <w:vAlign w:val="center"/>
          </w:tcPr>
          <w:p>
            <w:pPr>
              <w:pStyle w:val="TableContents"/>
              <w:bidi w:val="0"/>
              <w:spacing w:before="0" w:after="283"/>
              <w:jc w:val="left"/>
              <w:rPr/>
            </w:pPr>
            <w:r>
              <w:rPr/>
              <w:t> </w:t>
            </w:r>
          </w:p>
        </w:tc>
        <w:tc>
          <w:tcPr>
            <w:tcW w:w="1724"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2026</w:t>
            </w:r>
          </w:p>
        </w:tc>
      </w:tr>
      <w:tr>
        <w:trPr/>
        <w:tc>
          <w:tcPr>
            <w:tcW w:w="3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03" w:type="dxa"/>
            <w:gridSpan w:val="3"/>
            <w:tcBorders/>
            <w:vAlign w:val="center"/>
          </w:tcPr>
          <w:p>
            <w:pPr>
              <w:pStyle w:val="TableContents"/>
              <w:bidi w:val="0"/>
              <w:spacing w:before="0" w:after="283"/>
              <w:jc w:val="center"/>
              <w:rPr>
                <w:b/>
              </w:rPr>
            </w:pPr>
            <w:r>
              <w:rPr>
                <w:b/>
              </w:rPr>
              <w:t>$US</w:t>
            </w:r>
          </w:p>
        </w:tc>
        <w:tc>
          <w:tcPr>
            <w:tcW w:w="83" w:type="dxa"/>
            <w:tcBorders/>
            <w:vAlign w:val="center"/>
          </w:tcPr>
          <w:p>
            <w:pPr>
              <w:pStyle w:val="TableContents"/>
              <w:bidi w:val="0"/>
              <w:spacing w:before="0" w:after="283"/>
              <w:jc w:val="left"/>
              <w:rPr/>
            </w:pPr>
            <w:r>
              <w:rPr/>
              <w:t> </w:t>
            </w:r>
          </w:p>
        </w:tc>
        <w:tc>
          <w:tcPr>
            <w:tcW w:w="1724" w:type="dxa"/>
            <w:gridSpan w:val="3"/>
            <w:tcBorders/>
            <w:vAlign w:val="center"/>
          </w:tcPr>
          <w:p>
            <w:pPr>
              <w:pStyle w:val="TableContents"/>
              <w:bidi w:val="0"/>
              <w:spacing w:before="0" w:after="283"/>
              <w:ind w:left="0" w:right="0" w:hanging="200"/>
              <w:jc w:val="center"/>
              <w:rPr>
                <w:b/>
              </w:rPr>
            </w:pPr>
            <w:r>
              <w:rPr>
                <w:b/>
              </w:rPr>
              <w:t>$US</w:t>
            </w:r>
          </w:p>
        </w:tc>
      </w:tr>
      <w:tr>
        <w:trPr/>
        <w:tc>
          <w:tcPr>
            <w:tcW w:w="3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0" w:type="dxa"/>
            <w:gridSpan w:val="7"/>
            <w:tcBorders/>
            <w:vAlign w:val="center"/>
          </w:tcPr>
          <w:p>
            <w:pPr>
              <w:pStyle w:val="TableContents"/>
              <w:bidi w:val="0"/>
              <w:spacing w:before="0" w:after="283"/>
              <w:ind w:left="0" w:right="0" w:hanging="200"/>
              <w:jc w:val="center"/>
              <w:rPr>
                <w:b/>
              </w:rPr>
            </w:pPr>
            <w:r>
              <w:rPr>
                <w:b/>
              </w:rPr>
              <w:t>(Unaudited)</w:t>
            </w:r>
          </w:p>
        </w:tc>
      </w:tr>
      <w:tr>
        <w:trPr/>
        <w:tc>
          <w:tcPr>
            <w:tcW w:w="3710" w:type="dxa"/>
            <w:tcBorders/>
            <w:shd w:fill="CCEEFF" w:val="clear"/>
            <w:vAlign w:val="center"/>
          </w:tcPr>
          <w:p>
            <w:pPr>
              <w:pStyle w:val="TableContents"/>
              <w:bidi w:val="0"/>
              <w:spacing w:before="0" w:after="283"/>
              <w:jc w:val="left"/>
              <w:rPr/>
            </w:pPr>
            <w:r>
              <w:rPr/>
              <w:t>China</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924" w:name="xdx_989_eus-gaap--Revenues_pp0p0_c202501"/>
            <w:bookmarkEnd w:id="924"/>
          </w:p>
        </w:tc>
        <w:tc>
          <w:tcPr>
            <w:tcW w:w="1537" w:type="dxa"/>
            <w:tcBorders/>
            <w:shd w:fill="CCEEFF" w:val="clear"/>
            <w:vAlign w:val="center"/>
          </w:tcPr>
          <w:p>
            <w:pPr>
              <w:pStyle w:val="TableContents"/>
              <w:bidi w:val="0"/>
              <w:spacing w:before="0" w:after="283"/>
              <w:jc w:val="right"/>
              <w:rPr/>
            </w:pPr>
            <w:r>
              <w:rPr/>
              <w:t>14,408,350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925" w:name="xdx_98B_eus-gaap--Revenues_pp0p0_c202601"/>
            <w:bookmarkEnd w:id="925"/>
          </w:p>
        </w:tc>
        <w:tc>
          <w:tcPr>
            <w:tcW w:w="1537" w:type="dxa"/>
            <w:tcBorders/>
            <w:shd w:fill="CCEEFF" w:val="clear"/>
            <w:vAlign w:val="center"/>
          </w:tcPr>
          <w:p>
            <w:pPr>
              <w:pStyle w:val="TableContents"/>
              <w:bidi w:val="0"/>
              <w:spacing w:before="0" w:after="283"/>
              <w:jc w:val="right"/>
              <w:rPr/>
            </w:pPr>
            <w:r>
              <w:rPr/>
              <w:t>15,438,246</w:t>
            </w:r>
          </w:p>
        </w:tc>
        <w:tc>
          <w:tcPr>
            <w:tcW w:w="104" w:type="dxa"/>
            <w:tcBorders/>
            <w:shd w:fill="CCEEFF" w:val="clear"/>
            <w:vAlign w:val="center"/>
          </w:tcPr>
          <w:p>
            <w:pPr>
              <w:pStyle w:val="TableContents"/>
              <w:bidi w:val="0"/>
              <w:spacing w:before="0" w:after="283"/>
              <w:ind w:left="0" w:right="0" w:hanging="200"/>
              <w:jc w:val="left"/>
              <w:rPr/>
            </w:pPr>
            <w:r>
              <w:rPr/>
              <w:t> </w:t>
            </w:r>
          </w:p>
        </w:tc>
      </w:tr>
      <w:tr>
        <w:trPr/>
        <w:tc>
          <w:tcPr>
            <w:tcW w:w="3710" w:type="dxa"/>
            <w:tcBorders/>
            <w:shd w:fill="FFFFFF" w:val="clear"/>
            <w:vAlign w:val="center"/>
          </w:tcPr>
          <w:p>
            <w:pPr>
              <w:pStyle w:val="TableContents"/>
              <w:bidi w:val="0"/>
              <w:spacing w:before="0" w:after="283"/>
              <w:jc w:val="left"/>
              <w:rPr/>
            </w:pPr>
            <w:r>
              <w:rPr/>
              <w:t>Taiwan, China</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926" w:name="xdx_988_eus-gaap--Revenues_pp0p0_c202501"/>
            <w:bookmarkEnd w:id="926"/>
          </w:p>
        </w:tc>
        <w:tc>
          <w:tcPr>
            <w:tcW w:w="1537" w:type="dxa"/>
            <w:tcBorders/>
            <w:shd w:fill="FFFFFF" w:val="clear"/>
            <w:vAlign w:val="center"/>
          </w:tcPr>
          <w:p>
            <w:pPr>
              <w:pStyle w:val="TableContents"/>
              <w:bidi w:val="0"/>
              <w:spacing w:before="0" w:after="283"/>
              <w:jc w:val="right"/>
              <w:rPr/>
            </w:pPr>
            <w:r>
              <w:rPr/>
              <w:t>7,307,742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927" w:name="xdx_98A_eus-gaap--Revenues_pp0p0_c202601"/>
            <w:bookmarkEnd w:id="927"/>
          </w:p>
        </w:tc>
        <w:tc>
          <w:tcPr>
            <w:tcW w:w="1537" w:type="dxa"/>
            <w:tcBorders/>
            <w:shd w:fill="FFFFFF" w:val="clear"/>
            <w:vAlign w:val="center"/>
          </w:tcPr>
          <w:p>
            <w:pPr>
              <w:pStyle w:val="TableContents"/>
              <w:bidi w:val="0"/>
              <w:spacing w:before="0" w:after="283"/>
              <w:jc w:val="right"/>
              <w:rPr/>
            </w:pPr>
            <w:r>
              <w:rPr/>
              <w:t>8,945,774</w:t>
            </w:r>
          </w:p>
        </w:tc>
        <w:tc>
          <w:tcPr>
            <w:tcW w:w="104" w:type="dxa"/>
            <w:tcBorders/>
            <w:shd w:fill="FFFFFF" w:val="clear"/>
            <w:vAlign w:val="center"/>
          </w:tcPr>
          <w:p>
            <w:pPr>
              <w:pStyle w:val="TableContents"/>
              <w:bidi w:val="0"/>
              <w:spacing w:before="0" w:after="283"/>
              <w:ind w:left="0" w:right="0" w:hanging="200"/>
              <w:jc w:val="left"/>
              <w:rPr/>
            </w:pPr>
            <w:r>
              <w:rPr/>
              <w:t> </w:t>
            </w:r>
          </w:p>
        </w:tc>
      </w:tr>
      <w:tr>
        <w:trPr/>
        <w:tc>
          <w:tcPr>
            <w:tcW w:w="3710" w:type="dxa"/>
            <w:tcBorders/>
            <w:shd w:fill="CCEEFF" w:val="clear"/>
            <w:vAlign w:val="center"/>
          </w:tcPr>
          <w:p>
            <w:pPr>
              <w:pStyle w:val="TableContents"/>
              <w:bidi w:val="0"/>
              <w:spacing w:before="0" w:after="283"/>
              <w:jc w:val="left"/>
              <w:rPr/>
            </w:pPr>
            <w:r>
              <w:rPr/>
              <w:t>America</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928" w:name="xdx_985_eus-gaap--Revenues_pp0p0_c202501"/>
            <w:bookmarkEnd w:id="928"/>
          </w:p>
        </w:tc>
        <w:tc>
          <w:tcPr>
            <w:tcW w:w="1537" w:type="dxa"/>
            <w:tcBorders/>
            <w:shd w:fill="CCEEFF" w:val="clear"/>
            <w:vAlign w:val="center"/>
          </w:tcPr>
          <w:p>
            <w:pPr>
              <w:pStyle w:val="TableContents"/>
              <w:bidi w:val="0"/>
              <w:spacing w:before="0" w:after="283"/>
              <w:jc w:val="right"/>
              <w:rPr/>
            </w:pPr>
            <w:r>
              <w:rPr/>
              <w:t>422,339</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929" w:name="xdx_983_eus-gaap--Revenues_pp0p0_c202601"/>
            <w:bookmarkEnd w:id="929"/>
          </w:p>
        </w:tc>
        <w:tc>
          <w:tcPr>
            <w:tcW w:w="1537" w:type="dxa"/>
            <w:tcBorders/>
            <w:shd w:fill="CCEEFF" w:val="clear"/>
            <w:vAlign w:val="center"/>
          </w:tcPr>
          <w:p>
            <w:pPr>
              <w:pStyle w:val="TableContents"/>
              <w:bidi w:val="0"/>
              <w:spacing w:before="0" w:after="283"/>
              <w:jc w:val="right"/>
              <w:rPr/>
            </w:pPr>
            <w:r>
              <w:rPr/>
              <w:t>5,179,995</w:t>
            </w:r>
          </w:p>
        </w:tc>
        <w:tc>
          <w:tcPr>
            <w:tcW w:w="104" w:type="dxa"/>
            <w:tcBorders/>
            <w:shd w:fill="CCEEFF" w:val="clear"/>
            <w:vAlign w:val="center"/>
          </w:tcPr>
          <w:p>
            <w:pPr>
              <w:pStyle w:val="TableContents"/>
              <w:bidi w:val="0"/>
              <w:spacing w:before="0" w:after="283"/>
              <w:ind w:left="0" w:right="0" w:hanging="200"/>
              <w:jc w:val="left"/>
              <w:rPr/>
            </w:pPr>
            <w:r>
              <w:rPr/>
              <w:t> </w:t>
            </w:r>
          </w:p>
        </w:tc>
      </w:tr>
      <w:tr>
        <w:trPr/>
        <w:tc>
          <w:tcPr>
            <w:tcW w:w="3710"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930" w:name="xdx_986_eus-gaap--Revenues_pp0p0_c202501"/>
            <w:bookmarkEnd w:id="930"/>
          </w:p>
        </w:tc>
        <w:tc>
          <w:tcPr>
            <w:tcW w:w="1537" w:type="dxa"/>
            <w:tcBorders/>
            <w:shd w:fill="FFFFFF" w:val="clear"/>
            <w:vAlign w:val="center"/>
          </w:tcPr>
          <w:p>
            <w:pPr>
              <w:pStyle w:val="TableContents"/>
              <w:bidi w:val="0"/>
              <w:spacing w:before="0" w:after="283"/>
              <w:jc w:val="right"/>
              <w:rPr/>
            </w:pPr>
            <w:r>
              <w:rPr/>
              <w:t>2,138,880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931" w:name="xdx_983_eus-gaap--Revenues_pp0p0_c202601"/>
            <w:bookmarkEnd w:id="931"/>
          </w:p>
        </w:tc>
        <w:tc>
          <w:tcPr>
            <w:tcW w:w="1537" w:type="dxa"/>
            <w:tcBorders/>
            <w:shd w:fill="FFFFFF" w:val="clear"/>
            <w:vAlign w:val="center"/>
          </w:tcPr>
          <w:p>
            <w:pPr>
              <w:pStyle w:val="TableContents"/>
              <w:bidi w:val="0"/>
              <w:spacing w:before="0" w:after="283"/>
              <w:jc w:val="right"/>
              <w:rPr/>
            </w:pPr>
            <w:r>
              <w:rPr/>
              <w:t>3,662,277</w:t>
            </w:r>
          </w:p>
        </w:tc>
        <w:tc>
          <w:tcPr>
            <w:tcW w:w="104" w:type="dxa"/>
            <w:tcBorders/>
            <w:shd w:fill="FFFFFF" w:val="clear"/>
            <w:vAlign w:val="center"/>
          </w:tcPr>
          <w:p>
            <w:pPr>
              <w:pStyle w:val="TableContents"/>
              <w:bidi w:val="0"/>
              <w:spacing w:before="0" w:after="283"/>
              <w:ind w:left="0" w:right="0" w:hanging="200"/>
              <w:jc w:val="left"/>
              <w:rPr/>
            </w:pPr>
            <w:r>
              <w:rPr/>
              <w:t> </w:t>
            </w:r>
          </w:p>
        </w:tc>
      </w:tr>
      <w:tr>
        <w:trPr/>
        <w:tc>
          <w:tcPr>
            <w:tcW w:w="371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32" w:name="xdx_986_eus-gaap--Revenues_pp0p0_c202501"/>
            <w:bookmarkEnd w:id="932"/>
          </w:p>
        </w:tc>
        <w:tc>
          <w:tcPr>
            <w:tcW w:w="1537" w:type="dxa"/>
            <w:tcBorders>
              <w:bottom w:val="single" w:sz="8" w:space="0" w:color="000000"/>
            </w:tcBorders>
            <w:shd w:fill="CCEEFF" w:val="clear"/>
            <w:tcMar>
              <w:bottom w:w="28" w:type="dxa"/>
            </w:tcMar>
            <w:vAlign w:val="center"/>
          </w:tcPr>
          <w:p>
            <w:pPr>
              <w:pStyle w:val="TableContents"/>
              <w:bidi w:val="0"/>
              <w:spacing w:before="0" w:after="283"/>
              <w:jc w:val="right"/>
              <w:rPr/>
            </w:pPr>
            <w:r>
              <w:rPr/>
              <w:t>425,949</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33" w:name="xdx_98B_eus-gaap--Revenues_pp0p0_c202601"/>
            <w:bookmarkEnd w:id="933"/>
          </w:p>
        </w:tc>
        <w:tc>
          <w:tcPr>
            <w:tcW w:w="1537" w:type="dxa"/>
            <w:tcBorders>
              <w:bottom w:val="single" w:sz="8" w:space="0" w:color="000000"/>
            </w:tcBorders>
            <w:shd w:fill="CCEEFF" w:val="clear"/>
            <w:tcMar>
              <w:bottom w:w="28" w:type="dxa"/>
            </w:tcMar>
            <w:vAlign w:val="center"/>
          </w:tcPr>
          <w:p>
            <w:pPr>
              <w:pStyle w:val="TableContents"/>
              <w:bidi w:val="0"/>
              <w:spacing w:before="0" w:after="283"/>
              <w:jc w:val="right"/>
              <w:rPr/>
            </w:pPr>
            <w:r>
              <w:rPr/>
              <w:t>518,297</w:t>
            </w:r>
          </w:p>
        </w:tc>
        <w:tc>
          <w:tcPr>
            <w:tcW w:w="104" w:type="dxa"/>
            <w:tcBorders/>
            <w:shd w:fill="CCEEFF" w:val="clear"/>
            <w:vAlign w:val="center"/>
          </w:tcPr>
          <w:p>
            <w:pPr>
              <w:pStyle w:val="TableContents"/>
              <w:bidi w:val="0"/>
              <w:spacing w:before="0" w:after="283"/>
              <w:ind w:left="0" w:right="0" w:hanging="200"/>
              <w:jc w:val="left"/>
              <w:rPr/>
            </w:pPr>
            <w:r>
              <w:rPr/>
              <w:t> </w:t>
            </w:r>
          </w:p>
        </w:tc>
      </w:tr>
      <w:tr>
        <w:trPr/>
        <w:tc>
          <w:tcPr>
            <w:tcW w:w="371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34" w:name="xdx_989_eus-gaap--Revenues_pp0p0_c202501"/>
            <w:bookmarkEnd w:id="934"/>
          </w:p>
        </w:tc>
        <w:tc>
          <w:tcPr>
            <w:tcW w:w="15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24,703,260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35" w:name="xdx_981_eus-gaap--Revenues_pp0p0_c202601"/>
            <w:bookmarkEnd w:id="935"/>
          </w:p>
        </w:tc>
        <w:tc>
          <w:tcPr>
            <w:tcW w:w="15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33,744,589</w:t>
            </w:r>
          </w:p>
        </w:tc>
        <w:tc>
          <w:tcPr>
            <w:tcW w:w="104"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936" w:name="xdx_8AC_zDD3GrsOG2Gk"/>
      <w:bookmarkEnd w:id="93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F-34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937" w:name="xdx_235_zBhKflfDesEg"/>
      <w:bookmarkEnd w:id="937"/>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938" w:name="xdx_80B_eus-gaap--SegmentReportingDisclo"/>
      <w:bookmarkEnd w:id="938"/>
      <w:r>
        <w:rPr>
          <w:rFonts w:ascii="Times New Roman;Times;Serif" w:hAnsi="Times New Roman;Times;Serif"/>
          <w:b/>
          <w:i w:val="false"/>
          <w:caps w:val="false"/>
          <w:smallCaps w:val="false"/>
          <w:sz w:val="20"/>
        </w:rPr>
        <w:t xml:space="preserve">19. </w:t>
      </w:r>
      <w:bookmarkStart w:id="939" w:name="xdx_82D_zZnnAza5XVRd"/>
      <w:bookmarkEnd w:id="939"/>
      <w:r>
        <w:rPr>
          <w:rFonts w:ascii="Times New Roman;Times;Serif" w:hAnsi="Times New Roman;Times;Serif"/>
          <w:b/>
          <w:i w:val="false"/>
          <w:caps w:val="false"/>
          <w:smallCaps w:val="false"/>
          <w:sz w:val="20"/>
        </w:rPr>
        <w:t>SEGMENT REPORTING</w:t>
      </w:r>
    </w:p>
    <w:p>
      <w:pPr>
        <w:pStyle w:val="TextBody"/>
        <w:bidi w:val="0"/>
        <w:ind w:left="647" w:right="0" w:hanging="647"/>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Reporting defines operating segments as components of an enterprise about which separate financial information is available that is evaluated regularly by the chief operating decision maker in deciding how to allocate resources and in assessing performance.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management approach in determining its operating segments. The Company’s CODM is identified as the Chief Executive Officer, relies upon the consolidated results of operations as a whole when making decisions about allocating resources and assessing the performance of the Company. The Company generates substantially all of its revenue from the Chinese mainland and Taiwan, China, and the majority of the Company’s long-lived assets were located in the Mainland China. As a result of the assessment made by CODM, the Company has only one reportable segment. The Group does not distinguish between markets or segments for the purpose of internal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concluded that consolidated net income is the measure of segment profitability. The CODM assesses performance for the Company, monitors budget versus actual results, and determines how to allocate resources based on consolidated net income as reported in the consolidated statements of operations. There are no other expense categories regularly provided to the CODM that are not already included in the primary financial statements 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to the overall basis of segmentation or the measurement basis for the segment results since the prior year.</w:t>
      </w:r>
    </w:p>
    <w:p>
      <w:pPr>
        <w:pStyle w:val="TextBody"/>
        <w:bidi w:val="0"/>
        <w:jc w:val="both"/>
        <w:rPr>
          <w:caps w:val="false"/>
          <w:smallCaps w:val="false"/>
        </w:rPr>
      </w:pPr>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940" w:name="xdx_806_eus-gaap--CompensationAndEmploye"/>
      <w:bookmarkEnd w:id="940"/>
      <w:r>
        <w:rPr>
          <w:rFonts w:ascii="Times New Roman;Times;Serif" w:hAnsi="Times New Roman;Times;Serif"/>
          <w:b/>
          <w:i w:val="false"/>
          <w:caps w:val="false"/>
          <w:smallCaps w:val="false"/>
          <w:sz w:val="20"/>
        </w:rPr>
        <w:t xml:space="preserve">20. </w:t>
      </w:r>
      <w:bookmarkStart w:id="941" w:name="xdx_82D_zPiciIT9ozr5"/>
      <w:bookmarkEnd w:id="941"/>
      <w:r>
        <w:rPr>
          <w:rFonts w:ascii="Times New Roman;Times;Serif" w:hAnsi="Times New Roman;Times;Serif"/>
          <w:b/>
          <w:i w:val="false"/>
          <w:caps w:val="false"/>
          <w:smallCaps w:val="false"/>
          <w:sz w:val="20"/>
        </w:rPr>
        <w:t>SHARE-BASED COMPENSATION</w:t>
      </w:r>
    </w:p>
    <w:p>
      <w:pPr>
        <w:pStyle w:val="TextBody"/>
        <w:bidi w:val="0"/>
        <w:ind w:left="647" w:right="0" w:hanging="647"/>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 2025, an employee was granted </w:t>
      </w:r>
      <w:bookmarkStart w:id="942" w:name="xdx_907_eus-gaap--ShareBasedCompensation"/>
      <w:bookmarkEnd w:id="942"/>
      <w:r>
        <w:rPr>
          <w:rFonts w:ascii="Times New Roman;Times;Serif" w:hAnsi="Times New Roman;Times;Serif"/>
          <w:b w:val="false"/>
          <w:i w:val="false"/>
          <w:caps w:val="false"/>
          <w:smallCaps w:val="false"/>
          <w:sz w:val="20"/>
        </w:rPr>
        <w:t xml:space="preserve">20,000 restricted ordinary shares in connection with sales activities in North America. The restricted shares are subject to a two-year service period commencing on January 1, 2025. Under the terms of the agreement, </w:t>
      </w:r>
      <w:bookmarkStart w:id="943" w:name="xdx_908_eus-gaap--ShareBasedCompensation"/>
      <w:bookmarkEnd w:id="943"/>
      <w:r>
        <w:rPr>
          <w:rFonts w:ascii="Times New Roman;Times;Serif" w:hAnsi="Times New Roman;Times;Serif"/>
          <w:b w:val="false"/>
          <w:i w:val="false"/>
          <w:caps w:val="false"/>
          <w:smallCaps w:val="false"/>
          <w:sz w:val="20"/>
        </w:rPr>
        <w:t xml:space="preserve">10,000 shares will be granted annually during the service period, and each tranche is subject to a six-month lock-up restriction upon issuance. On October 16, 2025, the company issued </w:t>
      </w:r>
      <w:bookmarkStart w:id="944" w:name="xdx_90D_eus-gaap--ShareBasedCompensation"/>
      <w:bookmarkEnd w:id="944"/>
      <w:r>
        <w:rPr>
          <w:rFonts w:ascii="Times New Roman;Times;Serif" w:hAnsi="Times New Roman;Times;Serif"/>
          <w:b w:val="false"/>
          <w:i w:val="false"/>
          <w:caps w:val="false"/>
          <w:smallCaps w:val="false"/>
          <w:sz w:val="20"/>
        </w:rPr>
        <w:t>10,000 of these restricted shares, representing the first annual tranche, which became subject to the six-month lock-up restriction from that issuance date. If the employee terminates services during the vesting period, the employee will automatically forfeit the restricted shares that are not vested as of the date of termination of the services. For the six months period ended June 30, 2025 and 2026, the Company recorded US$</w:t>
      </w:r>
      <w:bookmarkStart w:id="945" w:name="xdx_90C_eus-gaap--ShareBasedCompensation"/>
      <w:bookmarkEnd w:id="945"/>
      <w:r>
        <w:rPr>
          <w:rFonts w:ascii="Times New Roman;Times;Serif" w:hAnsi="Times New Roman;Times;Serif"/>
          <w:b w:val="false"/>
          <w:i w:val="false"/>
          <w:caps w:val="false"/>
          <w:smallCaps w:val="false"/>
          <w:sz w:val="20"/>
        </w:rPr>
        <w:t>44,400 and US$</w:t>
      </w:r>
      <w:bookmarkStart w:id="946" w:name="xdx_901_eus-gaap--ShareBasedCompensation"/>
      <w:bookmarkEnd w:id="946"/>
      <w:r>
        <w:rPr>
          <w:rFonts w:ascii="Times New Roman;Times;Serif" w:hAnsi="Times New Roman;Times;Serif"/>
          <w:b w:val="false"/>
          <w:i w:val="false"/>
          <w:caps w:val="false"/>
          <w:smallCaps w:val="false"/>
          <w:sz w:val="20"/>
        </w:rPr>
        <w:t>44,400 compensation expense,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2025, an external consultant was granted </w:t>
      </w:r>
      <w:bookmarkStart w:id="947" w:name="xdx_909_eus-gaap--ShareBasedCompensation"/>
      <w:bookmarkEnd w:id="947"/>
      <w:r>
        <w:rPr>
          <w:rFonts w:ascii="Times New Roman;Times;Serif" w:hAnsi="Times New Roman;Times;Serif"/>
          <w:b w:val="false"/>
          <w:i w:val="false"/>
          <w:caps w:val="false"/>
          <w:smallCaps w:val="false"/>
          <w:sz w:val="20"/>
        </w:rPr>
        <w:t>1,800,000 restricted ordinary shares in consideration for strategic advisory services. Pursuant to the service agreement, all of the shares were issued on June 20, 2025 and are subject to a six-month lock-up restriction. The grant is subject to a two-year service period commencing on April 30, 2025. On August 28, 2025, the Company and the external consultant entered into a supplemental amendment agreement, pursuant to which the service period was extended to five years, ending on April 29, 2030. For the six months period ended June 30, 2025 and 2026, the Company recorded US$</w:t>
      </w:r>
      <w:bookmarkStart w:id="948" w:name="xdx_90B_eus-gaap--ShareBasedCompensation"/>
      <w:bookmarkEnd w:id="948"/>
      <w:r>
        <w:rPr>
          <w:rFonts w:ascii="Times New Roman;Times;Serif" w:hAnsi="Times New Roman;Times;Serif"/>
          <w:b w:val="false"/>
          <w:i w:val="false"/>
          <w:caps w:val="false"/>
          <w:smallCaps w:val="false"/>
          <w:sz w:val="20"/>
        </w:rPr>
        <w:t>628,500 and US$</w:t>
      </w:r>
      <w:bookmarkStart w:id="949" w:name="xdx_903_eus-gaap--ShareBasedCompensation"/>
      <w:bookmarkEnd w:id="949"/>
      <w:r>
        <w:rPr>
          <w:rFonts w:ascii="Times New Roman;Times;Serif" w:hAnsi="Times New Roman;Times;Serif"/>
          <w:b w:val="false"/>
          <w:i w:val="false"/>
          <w:caps w:val="false"/>
          <w:smallCaps w:val="false"/>
          <w:sz w:val="20"/>
        </w:rPr>
        <w:t>673,393 compensation expense, respectively.</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F-35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950" w:name="xdx_231_zJguQ9YAadMj"/>
      <w:bookmarkEnd w:id="95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 2025, an employee was granted </w:t>
      </w:r>
      <w:bookmarkStart w:id="951" w:name="xdx_902_eus-gaap--ShareBasedCompensation"/>
      <w:bookmarkEnd w:id="951"/>
      <w:r>
        <w:rPr>
          <w:rFonts w:ascii="Times New Roman;Times;Serif" w:hAnsi="Times New Roman;Times;Serif"/>
          <w:b w:val="false"/>
          <w:i w:val="false"/>
          <w:caps w:val="false"/>
          <w:smallCaps w:val="false"/>
          <w:sz w:val="20"/>
        </w:rPr>
        <w:t>10,000 restricted ordinary shares for services related to sales expansion in certain regions of China. The restricted shares are subject to a one-year service period commencing on June 3, 2025, and vesting is conditional upon the achievement of the agreed-upon annual sales performance target. Upon issuance, the shares will be subject to a twelve-month lock-up restriction. If the employee terminates services during the vesting period, the employee will automatically forfeit the restricted shares that are not vested as of the date of termination of the services. As of June 30, 2026, the company has not issued these restricted shares to the employee. Since the employee was unable to achieve the agreed-upon annual sales performance target, we did not recognize any compensation expenses related to this grant as of June 30,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16, 2025, five employees were granted </w:t>
      </w:r>
      <w:bookmarkStart w:id="952" w:name="xdx_903_eus-gaap--ShareBasedCompensation"/>
      <w:bookmarkEnd w:id="952"/>
      <w:r>
        <w:rPr>
          <w:rFonts w:ascii="Times New Roman;Times;Serif" w:hAnsi="Times New Roman;Times;Serif"/>
          <w:b w:val="false"/>
          <w:i w:val="false"/>
          <w:caps w:val="false"/>
          <w:smallCaps w:val="false"/>
          <w:sz w:val="20"/>
        </w:rPr>
        <w:t>631,000 restricted ordinary shares. Pursuant to the award agreements, all of the shares were issued on October 16, 2025 and are subject to a six-month lock-up restriction. The restricted shares are subject to a five-year service period commencing on October 16, 2025. For the six months period ended June 30, 2026, the Company recorded US$184,883 compensation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2025, an external consultant was granted </w:t>
      </w:r>
      <w:bookmarkStart w:id="953" w:name="xdx_903_eus-gaap--ShareBasedCompensation"/>
      <w:bookmarkEnd w:id="953"/>
      <w:r>
        <w:rPr>
          <w:rFonts w:ascii="Times New Roman;Times;Serif" w:hAnsi="Times New Roman;Times;Serif"/>
          <w:b w:val="false"/>
          <w:i w:val="false"/>
          <w:caps w:val="false"/>
          <w:smallCaps w:val="false"/>
          <w:sz w:val="20"/>
        </w:rPr>
        <w:t xml:space="preserve">2,500,000 restricted ordinary shares in consideration for strategic advisory services. Pursuant to the service agreement, the Company shall issue </w:t>
      </w:r>
      <w:bookmarkStart w:id="954" w:name="xdx_900_eus-gaap--StockIssuedDuringPerio"/>
      <w:bookmarkEnd w:id="954"/>
      <w:r>
        <w:rPr>
          <w:rFonts w:ascii="Times New Roman;Times;Serif" w:hAnsi="Times New Roman;Times;Serif"/>
          <w:b w:val="false"/>
          <w:i w:val="false"/>
          <w:caps w:val="false"/>
          <w:smallCaps w:val="false"/>
          <w:sz w:val="20"/>
        </w:rPr>
        <w:t xml:space="preserve">500,000 restricted ordinary shares per service year to the consultant as full consideration for the services provided in that year, and pre-issuing the consideration shares corresponding to each service year in advance of the start of the service year, with six-month lock-up restrictions. The grant is subject to a five-year service period commencing on December 15, 2025. On January 15, 2026, the first </w:t>
      </w:r>
      <w:bookmarkStart w:id="955" w:name="xdx_90E_eus-gaap--StockIssuedDuringPerio"/>
      <w:bookmarkEnd w:id="955"/>
      <w:r>
        <w:rPr>
          <w:rFonts w:ascii="Times New Roman;Times;Serif" w:hAnsi="Times New Roman;Times;Serif"/>
          <w:b w:val="false"/>
          <w:i w:val="false"/>
          <w:caps w:val="false"/>
          <w:smallCaps w:val="false"/>
          <w:sz w:val="20"/>
        </w:rPr>
        <w:t>500,000 shares for the first service year were issued. For the six months period ended June 30, 2026, the Company recorded US$</w:t>
      </w:r>
      <w:bookmarkStart w:id="956" w:name="xdx_900_eus-gaap--ShareBasedCompensation"/>
      <w:bookmarkEnd w:id="956"/>
      <w:r>
        <w:rPr>
          <w:rFonts w:ascii="Times New Roman;Times;Serif" w:hAnsi="Times New Roman;Times;Serif"/>
          <w:b w:val="false"/>
          <w:i w:val="false"/>
          <w:caps w:val="false"/>
          <w:smallCaps w:val="false"/>
          <w:sz w:val="20"/>
        </w:rPr>
        <w:t>492,500 compensation expense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restricted shares granted was measured using the fair-value-based method in accordance with ASC 718, based on the closing price of the Company’s common stock on the date of grant, as these awards do not contain any market vesting conditions.</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dr w:val="single" w:sz="16" w:space="1" w:color="000000"/>
        </w:rPr>
      </w:pPr>
      <w:r>
        <w:rPr>
          <w:bdr w:val="single" w:sz="16" w:space="1" w:color="000000"/>
        </w:rPr>
        <w:t>F-36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957" w:name="xdx_23E_zRT3CwKtghCg"/>
      <w:bookmarkEnd w:id="95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activities of the restricted shares for the six months ended June 30, 2026 is as follow:</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58" w:name="xdx_896_eus-gaap--NonvestedRestrictedSto"/>
      <w:bookmarkStart w:id="959" w:name="xdx_896_eus-gaap--NonvestedRestrictedSto"/>
      <w:bookmarkEnd w:id="959"/>
    </w:p>
    <w:tbl>
      <w:tblPr>
        <w:tblW w:w="10205" w:type="dxa"/>
        <w:jc w:val="left"/>
        <w:tblInd w:w="0" w:type="dxa"/>
        <w:tblLayout w:type="fixed"/>
        <w:tblCellMar>
          <w:top w:w="0" w:type="dxa"/>
          <w:left w:w="0" w:type="dxa"/>
          <w:bottom w:w="0" w:type="dxa"/>
          <w:right w:w="0" w:type="dxa"/>
        </w:tblCellMar>
      </w:tblPr>
      <w:tblGrid>
        <w:gridCol w:w="2330"/>
        <w:gridCol w:w="60"/>
        <w:gridCol w:w="60"/>
        <w:gridCol w:w="166"/>
        <w:gridCol w:w="2712"/>
        <w:gridCol w:w="262"/>
        <w:gridCol w:w="60"/>
        <w:gridCol w:w="471"/>
        <w:gridCol w:w="3480"/>
        <w:gridCol w:w="604"/>
      </w:tblGrid>
      <w:tr>
        <w:trPr/>
        <w:tc>
          <w:tcPr>
            <w:tcW w:w="2330" w:type="dxa"/>
            <w:tcBorders/>
            <w:shd w:fill="FFFFFF" w:val="clear"/>
            <w:vAlign w:val="center"/>
          </w:tcPr>
          <w:p>
            <w:pPr>
              <w:pStyle w:val="TableContents"/>
              <w:bidi w:val="0"/>
              <w:spacing w:before="0" w:after="283"/>
              <w:ind w:left="0" w:right="0" w:hanging="200"/>
              <w:jc w:val="left"/>
              <w:rPr/>
            </w:pPr>
            <w:bookmarkStart w:id="960" w:name="xdx_8BA_zkUAkh5IOWn2"/>
            <w:bookmarkEnd w:id="960"/>
            <w:r>
              <w:rPr/>
              <w:t>Schedule of Restricted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2"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3480" w:type="dxa"/>
            <w:tcBorders/>
            <w:shd w:fill="FFFFFF" w:val="clear"/>
            <w:vAlign w:val="center"/>
          </w:tcPr>
          <w:p>
            <w:pPr>
              <w:pStyle w:val="TableContents"/>
              <w:bidi w:val="0"/>
              <w:spacing w:before="0" w:after="283"/>
              <w:jc w:val="right"/>
              <w:rPr/>
            </w:pPr>
            <w:r>
              <w:rPr/>
              <w:t> </w:t>
            </w:r>
          </w:p>
        </w:tc>
        <w:tc>
          <w:tcPr>
            <w:tcW w:w="604" w:type="dxa"/>
            <w:tcBorders/>
            <w:shd w:fill="FFFFFF" w:val="clear"/>
            <w:vAlign w:val="center"/>
          </w:tcPr>
          <w:p>
            <w:pPr>
              <w:pStyle w:val="TableContents"/>
              <w:bidi w:val="0"/>
              <w:spacing w:before="0" w:after="283"/>
              <w:jc w:val="left"/>
              <w:rPr/>
            </w:pPr>
            <w:r>
              <w:rPr/>
              <w:t> </w:t>
            </w:r>
          </w:p>
        </w:tc>
      </w:tr>
      <w:tr>
        <w:trPr/>
        <w:tc>
          <w:tcPr>
            <w:tcW w:w="23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Number of nonvested restricted shares</w:t>
            </w:r>
          </w:p>
        </w:tc>
        <w:tc>
          <w:tcPr>
            <w:tcW w:w="60" w:type="dxa"/>
            <w:tcBorders/>
            <w:vAlign w:val="center"/>
          </w:tcPr>
          <w:p>
            <w:pPr>
              <w:pStyle w:val="TableContents"/>
              <w:bidi w:val="0"/>
              <w:spacing w:before="0" w:after="283"/>
              <w:jc w:val="left"/>
              <w:rPr/>
            </w:pPr>
            <w:r>
              <w:rPr/>
              <w:t> </w:t>
            </w:r>
          </w:p>
        </w:tc>
        <w:tc>
          <w:tcPr>
            <w:tcW w:w="4555"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Weighted average FV per ordinary share on the grant date</w:t>
            </w:r>
          </w:p>
        </w:tc>
      </w:tr>
      <w:tr>
        <w:trPr/>
        <w:tc>
          <w:tcPr>
            <w:tcW w:w="2330" w:type="dxa"/>
            <w:tcBorders/>
            <w:shd w:fill="CCEEFF" w:val="clear"/>
            <w:vAlign w:val="center"/>
          </w:tcPr>
          <w:p>
            <w:pPr>
              <w:pStyle w:val="TableContents"/>
              <w:bidi w:val="0"/>
              <w:spacing w:before="0" w:after="283"/>
              <w:jc w:val="left"/>
              <w:rPr>
                <w:b/>
                <w:sz w:val="20"/>
              </w:rPr>
            </w:pPr>
            <w:r>
              <w:rPr>
                <w:b/>
                <w:sz w:val="20"/>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961" w:name="xdx_989_eus-gaap--SharebasedCompensation"/>
            <w:bookmarkEnd w:id="961"/>
          </w:p>
        </w:tc>
        <w:tc>
          <w:tcPr>
            <w:tcW w:w="2712" w:type="dxa"/>
            <w:tcBorders/>
            <w:shd w:fill="CCEEFF" w:val="clear"/>
            <w:vAlign w:val="center"/>
          </w:tcPr>
          <w:p>
            <w:pPr>
              <w:pStyle w:val="TableContents"/>
              <w:bidi w:val="0"/>
              <w:spacing w:before="0" w:after="283"/>
              <w:jc w:val="right"/>
              <w:rPr/>
            </w:pPr>
            <w:r>
              <w:rPr/>
              <w:t>4,489,726</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bookmarkStart w:id="962" w:name="xdx_983_eus-gaap--SharebasedCompensation"/>
            <w:bookmarkEnd w:id="962"/>
          </w:p>
        </w:tc>
        <w:tc>
          <w:tcPr>
            <w:tcW w:w="3480" w:type="dxa"/>
            <w:tcBorders/>
            <w:shd w:fill="CCEEFF" w:val="clear"/>
            <w:vAlign w:val="center"/>
          </w:tcPr>
          <w:p>
            <w:pPr>
              <w:pStyle w:val="TableContents"/>
              <w:bidi w:val="0"/>
              <w:spacing w:before="0" w:after="283"/>
              <w:jc w:val="right"/>
              <w:rPr/>
            </w:pPr>
            <w:r>
              <w:rPr/>
              <w:t>2.81</w:t>
            </w:r>
          </w:p>
        </w:tc>
        <w:tc>
          <w:tcPr>
            <w:tcW w:w="604" w:type="dxa"/>
            <w:tcBorders/>
            <w:shd w:fill="CCEEFF" w:val="clear"/>
            <w:vAlign w:val="center"/>
          </w:tcPr>
          <w:p>
            <w:pPr>
              <w:pStyle w:val="TableContents"/>
              <w:bidi w:val="0"/>
              <w:spacing w:before="0" w:after="283"/>
              <w:ind w:left="0" w:right="0" w:hanging="200"/>
              <w:jc w:val="left"/>
              <w:rPr/>
            </w:pPr>
            <w:r>
              <w:rPr/>
              <w:t> </w:t>
            </w:r>
          </w:p>
        </w:tc>
      </w:tr>
      <w:tr>
        <w:trPr/>
        <w:tc>
          <w:tcPr>
            <w:tcW w:w="2330" w:type="dxa"/>
            <w:tcBorders/>
            <w:shd w:fill="FFFFFF" w:val="clear"/>
            <w:vAlign w:val="center"/>
          </w:tcPr>
          <w:p>
            <w:pPr>
              <w:pStyle w:val="TableContents"/>
              <w:bidi w:val="0"/>
              <w:spacing w:before="0" w:after="283"/>
              <w:jc w:val="left"/>
              <w:rPr>
                <w:sz w:val="20"/>
              </w:rPr>
            </w:pPr>
            <w:r>
              <w:rPr>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963" w:name="xdx_989_eus-gaap--ShareBasedCompensation"/>
            <w:bookmarkEnd w:id="963"/>
          </w:p>
        </w:tc>
        <w:tc>
          <w:tcPr>
            <w:tcW w:w="2712" w:type="dxa"/>
            <w:tcBorders/>
            <w:shd w:fill="FFFFFF" w:val="clear"/>
            <w:vAlign w:val="center"/>
          </w:tcPr>
          <w:p>
            <w:pPr>
              <w:pStyle w:val="TableContents"/>
              <w:bidi w:val="0"/>
              <w:spacing w:before="0" w:after="283"/>
              <w:jc w:val="right"/>
              <w:rPr/>
            </w:pPr>
            <w:r>
              <w:rPr/>
              <w:t>—</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bookmarkStart w:id="964" w:name="xdx_98E_eus-gaap--ShareBasedCompensation"/>
            <w:bookmarkEnd w:id="964"/>
          </w:p>
        </w:tc>
        <w:tc>
          <w:tcPr>
            <w:tcW w:w="3480" w:type="dxa"/>
            <w:tcBorders/>
            <w:shd w:fill="FFFFFF" w:val="clear"/>
            <w:vAlign w:val="center"/>
          </w:tcPr>
          <w:p>
            <w:pPr>
              <w:pStyle w:val="TableContents"/>
              <w:bidi w:val="0"/>
              <w:spacing w:before="0" w:after="283"/>
              <w:jc w:val="right"/>
              <w:rPr/>
            </w:pPr>
            <w:r>
              <w:rPr/>
              <w:t>—</w:t>
            </w:r>
          </w:p>
        </w:tc>
        <w:tc>
          <w:tcPr>
            <w:tcW w:w="604" w:type="dxa"/>
            <w:tcBorders/>
            <w:shd w:fill="FFFFFF" w:val="clear"/>
            <w:vAlign w:val="center"/>
          </w:tcPr>
          <w:p>
            <w:pPr>
              <w:pStyle w:val="TableContents"/>
              <w:bidi w:val="0"/>
              <w:spacing w:before="0" w:after="283"/>
              <w:ind w:left="0" w:right="0" w:hanging="200"/>
              <w:jc w:val="left"/>
              <w:rPr/>
            </w:pPr>
            <w:r>
              <w:rPr/>
              <w:t> </w:t>
            </w:r>
          </w:p>
        </w:tc>
      </w:tr>
      <w:tr>
        <w:trPr/>
        <w:tc>
          <w:tcPr>
            <w:tcW w:w="2330" w:type="dxa"/>
            <w:tcBorders/>
            <w:shd w:fill="CCEEFF" w:val="clear"/>
            <w:vAlign w:val="center"/>
          </w:tcPr>
          <w:p>
            <w:pPr>
              <w:pStyle w:val="TableContents"/>
              <w:bidi w:val="0"/>
              <w:spacing w:before="0" w:after="283"/>
              <w:jc w:val="left"/>
              <w:rPr>
                <w:sz w:val="20"/>
              </w:rPr>
            </w:pPr>
            <w:r>
              <w:rPr>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65" w:name="xdx_980_eus-gaap--ShareBasedCompensation"/>
            <w:bookmarkEnd w:id="965"/>
          </w:p>
        </w:tc>
        <w:tc>
          <w:tcPr>
            <w:tcW w:w="2712" w:type="dxa"/>
            <w:tcBorders>
              <w:bottom w:val="single" w:sz="8" w:space="0" w:color="000000"/>
            </w:tcBorders>
            <w:shd w:fill="CCEEFF" w:val="clear"/>
            <w:tcMar>
              <w:bottom w:w="28" w:type="dxa"/>
            </w:tcMar>
            <w:vAlign w:val="center"/>
          </w:tcPr>
          <w:p>
            <w:pPr>
              <w:pStyle w:val="TableContents"/>
              <w:bidi w:val="0"/>
              <w:spacing w:before="0" w:after="283"/>
              <w:jc w:val="right"/>
              <w:rPr/>
            </w:pPr>
            <w:r>
              <w:rPr/>
              <w:t>(476,207</w:t>
            </w:r>
          </w:p>
        </w:tc>
        <w:tc>
          <w:tcPr>
            <w:tcW w:w="2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66" w:name="xdx_98B_eus-gaap--ShareBasedCompensation"/>
            <w:bookmarkEnd w:id="966"/>
          </w:p>
        </w:tc>
        <w:tc>
          <w:tcPr>
            <w:tcW w:w="3480" w:type="dxa"/>
            <w:tcBorders>
              <w:bottom w:val="single" w:sz="8" w:space="0" w:color="000000"/>
            </w:tcBorders>
            <w:shd w:fill="CCEEFF" w:val="clear"/>
            <w:tcMar>
              <w:bottom w:w="28" w:type="dxa"/>
            </w:tcMar>
            <w:vAlign w:val="center"/>
          </w:tcPr>
          <w:p>
            <w:pPr>
              <w:pStyle w:val="TableContents"/>
              <w:bidi w:val="0"/>
              <w:spacing w:before="0" w:after="283"/>
              <w:jc w:val="right"/>
              <w:rPr/>
            </w:pPr>
            <w:r>
              <w:rPr/>
              <w:t>2.92</w:t>
            </w:r>
          </w:p>
        </w:tc>
        <w:tc>
          <w:tcPr>
            <w:tcW w:w="604" w:type="dxa"/>
            <w:tcBorders/>
            <w:shd w:fill="CCEEFF" w:val="clear"/>
            <w:vAlign w:val="center"/>
          </w:tcPr>
          <w:p>
            <w:pPr>
              <w:pStyle w:val="TableContents"/>
              <w:bidi w:val="0"/>
              <w:spacing w:before="0" w:after="283"/>
              <w:ind w:left="0" w:right="0" w:hanging="200"/>
              <w:jc w:val="left"/>
              <w:rPr/>
            </w:pPr>
            <w:r>
              <w:rPr/>
              <w:t> </w:t>
            </w:r>
          </w:p>
        </w:tc>
      </w:tr>
      <w:tr>
        <w:trPr/>
        <w:tc>
          <w:tcPr>
            <w:tcW w:w="2330" w:type="dxa"/>
            <w:tcBorders/>
            <w:shd w:fill="FFFFFF" w:val="clear"/>
            <w:vAlign w:val="center"/>
          </w:tcPr>
          <w:p>
            <w:pPr>
              <w:pStyle w:val="TableContents"/>
              <w:bidi w:val="0"/>
              <w:spacing w:before="0" w:after="283"/>
              <w:jc w:val="left"/>
              <w:rPr>
                <w:b/>
                <w:sz w:val="20"/>
              </w:rPr>
            </w:pPr>
            <w:r>
              <w:rPr>
                <w:b/>
                <w:sz w:val="20"/>
              </w:rPr>
              <w:t>Unvested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67" w:name="xdx_989_eus-gaap--SharebasedCompensation"/>
            <w:bookmarkEnd w:id="967"/>
          </w:p>
        </w:tc>
        <w:tc>
          <w:tcPr>
            <w:tcW w:w="271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4,013,519</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68" w:name="xdx_98E_eus-gaap--SharebasedCompensation"/>
            <w:bookmarkEnd w:id="968"/>
          </w:p>
        </w:tc>
        <w:tc>
          <w:tcPr>
            <w:tcW w:w="34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2.80</w:t>
            </w:r>
          </w:p>
        </w:tc>
        <w:tc>
          <w:tcPr>
            <w:tcW w:w="604"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969" w:name="xdx_8A4_zbENv0CBRAdc"/>
      <w:bookmarkEnd w:id="96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of US$</w:t>
      </w:r>
      <w:bookmarkStart w:id="970" w:name="xdx_901_eus-gaap--EmployeeBenefitsAndSha"/>
      <w:bookmarkEnd w:id="970"/>
      <w:r>
        <w:rPr>
          <w:rFonts w:ascii="Times New Roman;Times;Serif" w:hAnsi="Times New Roman;Times;Serif"/>
          <w:b w:val="false"/>
          <w:i w:val="false"/>
          <w:caps w:val="false"/>
          <w:smallCaps w:val="false"/>
          <w:sz w:val="20"/>
        </w:rPr>
        <w:t>1,395,176 were recognized for the restricted shares during the six months ended June 30, 2026. As of June 30, 2026, there was unrecognized share-based compensation expenses of US$</w:t>
      </w:r>
      <w:bookmarkStart w:id="971" w:name="xdx_907_ecustom--UnrecongnizedSharebased"/>
      <w:bookmarkEnd w:id="971"/>
      <w:r>
        <w:rPr>
          <w:rFonts w:ascii="Times New Roman;Times;Serif" w:hAnsi="Times New Roman;Times;Serif"/>
          <w:b w:val="false"/>
          <w:i w:val="false"/>
          <w:caps w:val="false"/>
          <w:smallCaps w:val="false"/>
          <w:sz w:val="20"/>
        </w:rPr>
        <w:t>11,180,450 in relation to the restricted shares, which is expected to be recognized over a weighted average period of </w:t>
      </w:r>
      <w:bookmarkStart w:id="972" w:name="xdx_90F_eus-gaap--ShareBasedCompensation"/>
      <w:bookmarkEnd w:id="972"/>
      <w:r>
        <w:rPr>
          <w:rFonts w:ascii="Times New Roman;Times;Serif" w:hAnsi="Times New Roman;Times;Serif"/>
          <w:b w:val="false"/>
          <w:i w:val="false"/>
          <w:caps w:val="false"/>
          <w:smallCaps w:val="false"/>
          <w:sz w:val="20"/>
        </w:rPr>
        <w:t>4.13 years.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total share-based compensation expenses is set forth as follows: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73" w:name="xdx_893_eus-gaap--ScheduleOfShareBasedCo"/>
      <w:bookmarkStart w:id="974" w:name="xdx_893_eus-gaap--ScheduleOfShareBasedCo"/>
      <w:bookmarkEnd w:id="974"/>
    </w:p>
    <w:tbl>
      <w:tblPr>
        <w:tblW w:w="8691" w:type="dxa"/>
        <w:jc w:val="left"/>
        <w:tblInd w:w="0" w:type="dxa"/>
        <w:tblLayout w:type="fixed"/>
        <w:tblCellMar>
          <w:top w:w="0" w:type="dxa"/>
          <w:left w:w="0" w:type="dxa"/>
          <w:bottom w:w="0" w:type="dxa"/>
          <w:right w:w="0" w:type="dxa"/>
        </w:tblCellMar>
      </w:tblPr>
      <w:tblGrid>
        <w:gridCol w:w="5120"/>
        <w:gridCol w:w="60"/>
        <w:gridCol w:w="100"/>
        <w:gridCol w:w="1342"/>
        <w:gridCol w:w="100"/>
        <w:gridCol w:w="100"/>
        <w:gridCol w:w="100"/>
        <w:gridCol w:w="1644"/>
        <w:gridCol w:w="125"/>
      </w:tblGrid>
      <w:tr>
        <w:trPr/>
        <w:tc>
          <w:tcPr>
            <w:tcW w:w="5120" w:type="dxa"/>
            <w:tcBorders/>
            <w:shd w:fill="FFFFFF" w:val="clear"/>
            <w:vAlign w:val="center"/>
          </w:tcPr>
          <w:p>
            <w:pPr>
              <w:pStyle w:val="TableContents"/>
              <w:bidi w:val="0"/>
              <w:spacing w:before="0" w:after="283"/>
              <w:ind w:left="0" w:right="0" w:hanging="200"/>
              <w:jc w:val="left"/>
              <w:rPr/>
            </w:pPr>
            <w:bookmarkStart w:id="975" w:name="xdx_8B6_zFfUZRQCMu61"/>
            <w:bookmarkEnd w:id="975"/>
            <w:r>
              <w:rPr/>
              <w:t>Schedule of share-based compensation expenses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bookmarkStart w:id="976" w:name="xdx_497_20250101__20250630_zeRkpUwFECO5"/>
            <w:bookmarkEnd w:id="976"/>
          </w:p>
        </w:tc>
        <w:tc>
          <w:tcPr>
            <w:tcW w:w="134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bookmarkStart w:id="977" w:name="xdx_499_20260101__20260630_zSQJB6WKkhj5"/>
            <w:bookmarkEnd w:id="977"/>
          </w:p>
        </w:tc>
        <w:tc>
          <w:tcPr>
            <w:tcW w:w="164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ind w:left="0" w:right="0" w:hanging="200"/>
              <w:jc w:val="left"/>
              <w:rPr/>
            </w:pPr>
            <w:r>
              <w:rPr/>
              <w:t> </w:t>
            </w:r>
          </w:p>
        </w:tc>
      </w:tr>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1"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For the six months ended June 30,</w:t>
            </w:r>
          </w:p>
        </w:tc>
      </w:tr>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1869"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2026</w:t>
            </w:r>
          </w:p>
        </w:tc>
      </w:tr>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2" w:type="dxa"/>
            <w:gridSpan w:val="3"/>
            <w:tcBorders/>
            <w:vAlign w:val="center"/>
          </w:tcPr>
          <w:p>
            <w:pPr>
              <w:pStyle w:val="TableContents"/>
              <w:bidi w:val="0"/>
              <w:spacing w:before="0" w:after="283"/>
              <w:jc w:val="center"/>
              <w:rPr>
                <w:b/>
              </w:rPr>
            </w:pPr>
            <w:r>
              <w:rPr>
                <w:b/>
              </w:rPr>
              <w:t>$US</w:t>
            </w:r>
          </w:p>
        </w:tc>
        <w:tc>
          <w:tcPr>
            <w:tcW w:w="100" w:type="dxa"/>
            <w:tcBorders/>
            <w:vAlign w:val="center"/>
          </w:tcPr>
          <w:p>
            <w:pPr>
              <w:pStyle w:val="TableContents"/>
              <w:bidi w:val="0"/>
              <w:spacing w:before="0" w:after="283"/>
              <w:jc w:val="left"/>
              <w:rPr/>
            </w:pPr>
            <w:r>
              <w:rPr/>
              <w:t> </w:t>
            </w:r>
          </w:p>
        </w:tc>
        <w:tc>
          <w:tcPr>
            <w:tcW w:w="1869" w:type="dxa"/>
            <w:gridSpan w:val="3"/>
            <w:tcBorders/>
            <w:vAlign w:val="center"/>
          </w:tcPr>
          <w:p>
            <w:pPr>
              <w:pStyle w:val="TableContents"/>
              <w:bidi w:val="0"/>
              <w:spacing w:before="0" w:after="283"/>
              <w:ind w:left="0" w:right="0" w:hanging="200"/>
              <w:jc w:val="center"/>
              <w:rPr>
                <w:b/>
              </w:rPr>
            </w:pPr>
            <w:r>
              <w:rPr>
                <w:b/>
              </w:rPr>
              <w:t>$US</w:t>
            </w:r>
          </w:p>
        </w:tc>
      </w:tr>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1" w:type="dxa"/>
            <w:gridSpan w:val="7"/>
            <w:tcBorders/>
            <w:vAlign w:val="center"/>
          </w:tcPr>
          <w:p>
            <w:pPr>
              <w:pStyle w:val="TableContents"/>
              <w:bidi w:val="0"/>
              <w:spacing w:before="0" w:after="283"/>
              <w:ind w:left="0" w:right="0" w:hanging="200"/>
              <w:jc w:val="center"/>
              <w:rPr>
                <w:b/>
              </w:rPr>
            </w:pPr>
            <w:r>
              <w:rPr>
                <w:b/>
              </w:rPr>
              <w:t>(Unaudited)</w:t>
            </w:r>
            <w:bookmarkStart w:id="978" w:name="xdx_400_ecustom--GeneralAndAdministrativ"/>
            <w:bookmarkEnd w:id="978"/>
          </w:p>
        </w:tc>
      </w:tr>
      <w:tr>
        <w:trPr/>
        <w:tc>
          <w:tcPr>
            <w:tcW w:w="512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628,500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right"/>
              <w:rPr/>
            </w:pPr>
            <w:r>
              <w:rPr/>
              <w:t>1,257,016</w:t>
            </w:r>
          </w:p>
        </w:tc>
        <w:tc>
          <w:tcPr>
            <w:tcW w:w="125" w:type="dxa"/>
            <w:tcBorders/>
            <w:shd w:fill="CCEEFF" w:val="clear"/>
            <w:vAlign w:val="center"/>
          </w:tcPr>
          <w:p>
            <w:pPr>
              <w:pStyle w:val="TableContents"/>
              <w:bidi w:val="0"/>
              <w:spacing w:before="0" w:after="283"/>
              <w:ind w:left="0" w:right="0" w:hanging="200"/>
              <w:jc w:val="left"/>
              <w:rPr/>
            </w:pPr>
            <w:r>
              <w:rPr/>
              <w:t> </w:t>
            </w:r>
            <w:bookmarkStart w:id="979" w:name="xdx_40D_ecustom--SellingAndMarketingExpe"/>
            <w:bookmarkEnd w:id="979"/>
          </w:p>
        </w:tc>
      </w:tr>
      <w:tr>
        <w:trPr/>
        <w:tc>
          <w:tcPr>
            <w:tcW w:w="5120"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2" w:type="dxa"/>
            <w:tcBorders>
              <w:bottom w:val="single" w:sz="8" w:space="0" w:color="000000"/>
            </w:tcBorders>
            <w:shd w:fill="FFFFFF" w:val="clear"/>
            <w:tcMar>
              <w:bottom w:w="28" w:type="dxa"/>
            </w:tcMar>
            <w:vAlign w:val="center"/>
          </w:tcPr>
          <w:p>
            <w:pPr>
              <w:pStyle w:val="TableContents"/>
              <w:bidi w:val="0"/>
              <w:spacing w:before="0" w:after="283"/>
              <w:jc w:val="right"/>
              <w:rPr/>
            </w:pPr>
            <w:r>
              <w:rPr/>
              <w:t>48,125</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4" w:type="dxa"/>
            <w:tcBorders>
              <w:bottom w:val="single" w:sz="8" w:space="0" w:color="000000"/>
            </w:tcBorders>
            <w:shd w:fill="FFFFFF" w:val="clear"/>
            <w:tcMar>
              <w:bottom w:w="28" w:type="dxa"/>
            </w:tcMar>
            <w:vAlign w:val="center"/>
          </w:tcPr>
          <w:p>
            <w:pPr>
              <w:pStyle w:val="TableContents"/>
              <w:bidi w:val="0"/>
              <w:spacing w:before="0" w:after="283"/>
              <w:jc w:val="right"/>
              <w:rPr/>
            </w:pPr>
            <w:r>
              <w:rPr/>
              <w:t>138,160</w:t>
            </w:r>
          </w:p>
        </w:tc>
        <w:tc>
          <w:tcPr>
            <w:tcW w:w="125" w:type="dxa"/>
            <w:tcBorders/>
            <w:shd w:fill="FFFFFF" w:val="clear"/>
            <w:vAlign w:val="center"/>
          </w:tcPr>
          <w:p>
            <w:pPr>
              <w:pStyle w:val="TableContents"/>
              <w:bidi w:val="0"/>
              <w:spacing w:before="0" w:after="283"/>
              <w:ind w:left="0" w:right="0" w:hanging="200"/>
              <w:jc w:val="left"/>
              <w:rPr/>
            </w:pPr>
            <w:r>
              <w:rPr/>
              <w:t> </w:t>
            </w:r>
            <w:bookmarkStart w:id="980" w:name="xdx_40D_eus-gaap--AllocatedShareBasedCom"/>
            <w:bookmarkEnd w:id="980"/>
          </w:p>
        </w:tc>
      </w:tr>
      <w:tr>
        <w:trPr/>
        <w:tc>
          <w:tcPr>
            <w:tcW w:w="512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676,625</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1,395,176</w:t>
            </w:r>
          </w:p>
        </w:tc>
        <w:tc>
          <w:tcPr>
            <w:tcW w:w="125" w:type="dxa"/>
            <w:tcBorders/>
            <w:shd w:fill="CCEEFF" w:val="clear"/>
            <w:vAlign w:val="center"/>
          </w:tcPr>
          <w:p>
            <w:pPr>
              <w:pStyle w:val="TableContents"/>
              <w:bidi w:val="0"/>
              <w:spacing w:before="0" w:after="283"/>
              <w:ind w:left="0" w:right="0" w:hanging="200"/>
              <w:jc w:val="left"/>
              <w:rPr/>
            </w:pPr>
            <w:r>
              <w:rPr/>
              <w:t> </w:t>
            </w:r>
          </w:p>
        </w:tc>
      </w:tr>
      <w:tr>
        <w:trPr/>
        <w:tc>
          <w:tcPr>
            <w:tcW w:w="5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ind w:left="0" w:right="0" w:hanging="200"/>
              <w:jc w:val="left"/>
              <w:rPr/>
            </w:pPr>
            <w:r>
              <w:rPr/>
              <w:t> </w:t>
            </w:r>
          </w:p>
        </w:tc>
      </w:tr>
      <w:tr>
        <w:trPr/>
        <w:tc>
          <w:tcPr>
            <w:tcW w:w="5120" w:type="dxa"/>
            <w:tcBorders/>
            <w:shd w:fill="CCEEFF" w:val="clear"/>
            <w:vAlign w:val="center"/>
          </w:tcPr>
          <w:p>
            <w:pPr>
              <w:pStyle w:val="TableContents"/>
              <w:bidi w:val="0"/>
              <w:spacing w:before="0" w:after="283"/>
              <w:jc w:val="left"/>
              <w:rPr/>
            </w:pPr>
            <w:r>
              <w:rPr/>
              <w:t>Among which:</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ind w:left="0" w:right="0" w:hanging="200"/>
              <w:jc w:val="left"/>
              <w:rPr/>
            </w:pPr>
            <w:r>
              <w:rPr/>
              <w:t> </w:t>
            </w:r>
            <w:bookmarkStart w:id="981" w:name="xdx_40C_ecustom--SharebasedCompensationE"/>
            <w:bookmarkEnd w:id="981"/>
          </w:p>
        </w:tc>
      </w:tr>
      <w:tr>
        <w:trPr/>
        <w:tc>
          <w:tcPr>
            <w:tcW w:w="5120" w:type="dxa"/>
            <w:tcBorders/>
            <w:shd w:fill="FFFFFF" w:val="clear"/>
            <w:vAlign w:val="center"/>
          </w:tcPr>
          <w:p>
            <w:pPr>
              <w:pStyle w:val="TableContents"/>
              <w:bidi w:val="0"/>
              <w:spacing w:before="0" w:after="283"/>
              <w:jc w:val="left"/>
              <w:rPr/>
            </w:pPr>
            <w:r>
              <w:rPr/>
              <w:t>Share-based compensation expense for employee</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right"/>
              <w:rPr/>
            </w:pPr>
            <w:r>
              <w:rPr/>
              <w:t>229,283</w:t>
            </w:r>
          </w:p>
        </w:tc>
        <w:tc>
          <w:tcPr>
            <w:tcW w:w="125" w:type="dxa"/>
            <w:tcBorders/>
            <w:shd w:fill="FFFFFF" w:val="clear"/>
            <w:vAlign w:val="center"/>
          </w:tcPr>
          <w:p>
            <w:pPr>
              <w:pStyle w:val="TableContents"/>
              <w:bidi w:val="0"/>
              <w:spacing w:before="0" w:after="283"/>
              <w:ind w:left="0" w:right="0" w:hanging="200"/>
              <w:jc w:val="left"/>
              <w:rPr/>
            </w:pPr>
            <w:r>
              <w:rPr/>
              <w:t> </w:t>
            </w:r>
            <w:bookmarkStart w:id="982" w:name="xdx_40F_ecustom--SharebasedCompensationE"/>
            <w:bookmarkEnd w:id="982"/>
          </w:p>
        </w:tc>
      </w:tr>
      <w:tr>
        <w:trPr/>
        <w:tc>
          <w:tcPr>
            <w:tcW w:w="5120" w:type="dxa"/>
            <w:tcBorders/>
            <w:shd w:fill="CCEEFF" w:val="clear"/>
            <w:vAlign w:val="center"/>
          </w:tcPr>
          <w:p>
            <w:pPr>
              <w:pStyle w:val="TableContents"/>
              <w:bidi w:val="0"/>
              <w:spacing w:before="0" w:after="283"/>
              <w:jc w:val="left"/>
              <w:rPr/>
            </w:pPr>
            <w:r>
              <w:rPr/>
              <w:t>Share-based compensation expense for non-employee</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676,595</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right"/>
              <w:rPr/>
            </w:pPr>
            <w:r>
              <w:rPr/>
              <w:t>1,165,893</w:t>
            </w:r>
          </w:p>
        </w:tc>
        <w:tc>
          <w:tcPr>
            <w:tcW w:w="12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983" w:name="xdx_8A2_zXwRst64Ehek"/>
      <w:bookmarkEnd w:id="983"/>
      <w:r>
        <w:rPr>
          <w:caps w:val="false"/>
          <w:smallCaps w:val="false"/>
        </w:rPr>
        <w:t> </w:t>
      </w:r>
    </w:p>
    <w:p>
      <w:pPr>
        <w:pStyle w:val="TextBody"/>
        <w:bidi w:val="0"/>
        <w:ind w:left="647" w:right="0" w:hanging="647"/>
        <w:jc w:val="both"/>
        <w:rPr>
          <w:rFonts w:ascii="Times New Roman;Times;Serif" w:hAnsi="Times New Roman;Times;Serif"/>
          <w:b/>
          <w:i w:val="false"/>
          <w:caps w:val="false"/>
          <w:smallCaps w:val="false"/>
          <w:sz w:val="20"/>
        </w:rPr>
      </w:pPr>
      <w:bookmarkStart w:id="984" w:name="xdx_804_eus-gaap--SubsequentEventsTextBl"/>
      <w:bookmarkEnd w:id="984"/>
      <w:r>
        <w:rPr>
          <w:rFonts w:ascii="Times New Roman;Times;Serif" w:hAnsi="Times New Roman;Times;Serif"/>
          <w:b/>
          <w:i w:val="false"/>
          <w:caps w:val="false"/>
          <w:smallCaps w:val="false"/>
          <w:sz w:val="20"/>
        </w:rPr>
        <w:t xml:space="preserve">21. </w:t>
      </w:r>
      <w:bookmarkStart w:id="985" w:name="xdx_82D_zLhe1myEle95"/>
      <w:bookmarkEnd w:id="985"/>
      <w:r>
        <w:rPr>
          <w:rFonts w:ascii="Times New Roman;Times;Serif" w:hAnsi="Times New Roman;Times;Serif"/>
          <w:b/>
          <w:i w:val="false"/>
          <w:caps w:val="false"/>
          <w:smallCaps w:val="false"/>
          <w:sz w:val="20"/>
        </w:rPr>
        <w:t>SUBSEQUENT EVENTS</w:t>
      </w:r>
    </w:p>
    <w:p>
      <w:pPr>
        <w:pStyle w:val="TextBody"/>
        <w:bidi w:val="0"/>
        <w:ind w:left="647" w:right="0" w:hanging="647"/>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events from the six months ended June 30, 2026 through September 21, 2026, the date the unaudited condensed financial statements were issued. Except for the events mentioned above, the Company did not identify any subsequent events with a material financial impact on the Company’s unaudited condensed consolidated financial statements.</w:t>
      </w:r>
    </w:p>
    <w:p>
      <w:pPr>
        <w:pStyle w:val="TextBody"/>
        <w:bidi w:val="0"/>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Agreement for At The Market Offering</w:t>
      </w:r>
    </w:p>
    <w:p>
      <w:pPr>
        <w:pStyle w:val="TextBody"/>
        <w:bidi w:val="0"/>
        <w:spacing w:lineRule="auto" w:line="276"/>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entered into a sales agreement (the “Sales Agreement”) with Chaince Securities, LLC (the “Sales Agent”), acting as the Company’s sales agent, pursuant to which the Company may, from time to time, offer and sell up to $</w:t>
      </w:r>
      <w:bookmarkStart w:id="986" w:name="xdx_900_ecustom--SalesAgreementValue_iI_"/>
      <w:bookmarkEnd w:id="986"/>
      <w:r>
        <w:rPr>
          <w:rFonts w:ascii="Times New Roman;Times;Serif" w:hAnsi="Times New Roman;Times;Serif"/>
          <w:b w:val="false"/>
          <w:i w:val="false"/>
          <w:caps w:val="false"/>
          <w:smallCaps w:val="false"/>
          <w:sz w:val="20"/>
        </w:rPr>
        <w:t>9,800,000 of its Class A ordinary shares, par value $</w:t>
      </w:r>
      <w:bookmarkStart w:id="987" w:name="xdx_902_eus-gaap--CommonStockParOrStated"/>
      <w:bookmarkEnd w:id="987"/>
      <w:r>
        <w:rPr>
          <w:rFonts w:ascii="Times New Roman;Times;Serif" w:hAnsi="Times New Roman;Times;Serif"/>
          <w:b w:val="false"/>
          <w:i w:val="false"/>
          <w:caps w:val="false"/>
          <w:smallCaps w:val="false"/>
          <w:sz w:val="20"/>
        </w:rPr>
        <w:t>0.000016666667 per share, through at-the-market offerings. Such shares will be issued under the Company’s effective shelf registration statement on Form F-3 (File No. 333-293519), declared effective by the SEC on March 27, 2026, together with a base prospectus dated March 27, 2026 and a prospectus supplement dated August 3,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sales agent is obligated to sell or purchase any shares under the Sales Agreement. Sales, if any, will be made at the market prices at the time of sale in accordance with the Company’s instructions. The Company will pay the sales agent a 3.0% commission on gross proceeds plus a per-share execution and clearing fee of $0.02 for each Class A ordinary share sold.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21, 2026, the date the unaudited condensed financial statements were issued, no shares have been sold under this Sales Agreement. Any future share issuance under the agreement may dilute the Company’s future earnings per share.</w:t>
      </w:r>
    </w:p>
    <w:p>
      <w:pPr>
        <w:pStyle w:val="TextBody"/>
        <w:bidi w:val="0"/>
        <w:jc w:val="both"/>
        <w:rPr>
          <w:caps w:val="false"/>
          <w:smallCaps w:val="false"/>
        </w:rPr>
      </w:pPr>
      <w:bookmarkStart w:id="988" w:name="xdx_814_zjJOcYQzdbx9"/>
      <w:bookmarkEnd w:id="988"/>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F-37</w:t>
      </w:r>
    </w:p>
    <w:p>
      <w:pPr>
        <w:pStyle w:val="TextBody"/>
        <w:bidi w:val="0"/>
        <w:spacing w:before="60" w:after="60"/>
        <w:jc w:val="left"/>
        <w:rPr>
          <w:bdr w:val="single" w:sz="16" w:space="1" w:color="000000"/>
        </w:rPr>
      </w:pPr>
      <w:r>
        <w:rPr>
          <w:bdr w:val="single" w:sz="16" w:space="1" w:color="000000"/>
        </w:rPr>
        <w:t> </w:t>
      </w:r>
    </w:p>
    <w:p>
      <w:pPr>
        <w:pStyle w:val="TextBody"/>
        <w:bidi w:val="0"/>
        <w:jc w:val="both"/>
        <w:rPr>
          <w:caps w:val="false"/>
          <w:smallCaps w:val="false"/>
        </w:rPr>
      </w:pPr>
      <w:r>
        <w:rPr>
          <w:caps w:val="false"/>
          <w:smallCaps w:val="false"/>
        </w:rPr>
        <w:t> </w:t>
      </w:r>
    </w:p>
    <w:p>
      <w:pPr>
        <w:pStyle w:val="TextBody"/>
        <w:bidi w:val="0"/>
        <w:spacing w:before="200" w:after="60"/>
        <w:jc w:val="left"/>
        <w:rPr>
          <w:bdr w:val="single" w:sz="16" w:space="1" w:color="000000"/>
        </w:rPr>
      </w:pPr>
      <w:bookmarkStart w:id="989" w:name="e7952_ex99-2.htm"/>
      <w:bookmarkStart w:id="990" w:name="kse7952_ex992"/>
      <w:bookmarkEnd w:id="989"/>
      <w:bookmarkEnd w:id="990"/>
      <w:r>
        <w:rPr>
          <w:bdr w:val="single" w:sz="16" w:space="1" w:color="000000"/>
        </w:rPr>
        <w:t> </w:t>
      </w:r>
      <w:r>
        <w:br w:type="page"/>
      </w:r>
    </w:p>
    <w:p>
      <w:pPr>
        <w:pStyle w:val="TextBody"/>
        <w:bidi w:val="0"/>
        <w:spacing w:before="0" w:after="283"/>
        <w:jc w:val="left"/>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EXHIBIT 99.2</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AND PROSPECTS</w:t>
      </w:r>
    </w:p>
    <w:p>
      <w:pPr>
        <w:pStyle w:val="TextBody"/>
        <w:bidi w:val="0"/>
        <w:jc w:val="center"/>
        <w:rPr>
          <w:caps w:val="false"/>
          <w:smallCaps w:val="false"/>
        </w:rPr>
      </w:pPr>
      <w:r>
        <w:rPr>
          <w:caps w:val="false"/>
          <w:smallCaps w:val="false"/>
        </w:rPr>
        <w:t> </w:t>
      </w:r>
    </w:p>
    <w:p>
      <w:pPr>
        <w:pStyle w:val="TextBody"/>
        <w:bidi w:val="0"/>
        <w:ind w:left="0" w:right="0" w:firstLine="4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our unaudited condensed consolidated financial statements and the related notes for the six months ended June 30, 2026 included elsewhere in Current Report on Form 6-K. This discussion contains forward-looking statements that involve risks and uncertainties. Our actual results and the timing of events could differ materially from those anticipated in these forward-looking statements as a result of various factors detailed in our filings with the U.S. Securities and Exchange Commission (the “SEC”).</w:t>
      </w:r>
    </w:p>
    <w:p>
      <w:pPr>
        <w:pStyle w:val="TextBody"/>
        <w:bidi w:val="0"/>
        <w:ind w:left="0" w:right="0" w:firstLine="4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Operating results.</w:t>
      </w:r>
    </w:p>
    <w:p>
      <w:pPr>
        <w:pStyle w:val="TextBody"/>
        <w:bidi w:val="0"/>
        <w:ind w:left="0" w:right="0" w:firstLine="4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(“Zhongjinke,” or the “Company”) is a holding company incorporated in the Cayman Islands on May 11, 2022. We have no material operations of our own, and conducts substantially all of our operations through Shenzhen Zhongjinke Hardware Products Co., Ltd., which we refer to as “Zhongjinke Shenzhen,” Zhongke Precision Components (Guangdong) Co., Ltd. and our other subsidiaries. We, through operating through the consolidated subsidiaries in the People’s Republic of China (the “PRC” or “China”) and Vietnam,  are a high-tech enterprise specialized in manufacturing and sale of precision fasteners, structural parts and other precision metal parts products applied in intelligent electronic equipment and new energy vehicles. With about twelve-year involvement in precision metal parts manufacturing industry, we have a professional team, a series of highly automated and precise manufacturing equipment, stable and strong customer group, and complete quality management systems. We mainly offer: (i) standard screws; (ii) precision screws and nuts; (iii) high-strength bolts and nuts; (iv) turning and Computer Numerical Control machining parts; (v) Surface Mounting Technology for miniature parts packaging; (vi) technology service for research and development from professional engineering team. Our headquarter is located in Shenzhen,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that Affect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key factors affecting the Company’s financial condition and results of operations include the following:</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may not manage our growth strategy effectively, and our growth, financial condition, results of operations and profitability may suffer.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may not effectively innovate or create new solutions which align with changing market and customer demand.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Increases in our raw material, energy costs or labor costs could affect our profitability and other financial results.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Technology and manufacturing techniques are crucial to our production. Any harm to technology and manufacturing techniques could affect results of operation.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harm to our reputation or failure to enhance our brand recognition may affect our business, financial condition and results of operations.</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factors mentioned above do not list all the material risk factors that may affect our financial condition and results of operations. The above-mentioned risks and others are discussed in more detail in the caption “Item 3. Key Information—D. Risk Factors” of the annual report on Form 20-F for the fiscal year ended December 31, 2025 that was filed with the SEC on April 28,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Results of Operations for the Six Months Ended June 30, 2025 and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for the periods presented. This information should be read together with our consolidated financial statements and related notes included elsewhere in this filing. The results of operations in any period are not necessarily indicative of our future trends.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U.S. dollars, except share data and per share data, or otherwise noted)</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74"/>
        <w:gridCol w:w="60"/>
        <w:gridCol w:w="162"/>
        <w:gridCol w:w="1361"/>
        <w:gridCol w:w="109"/>
        <w:gridCol w:w="68"/>
        <w:gridCol w:w="162"/>
        <w:gridCol w:w="1361"/>
        <w:gridCol w:w="109"/>
        <w:gridCol w:w="60"/>
        <w:gridCol w:w="140"/>
        <w:gridCol w:w="1055"/>
        <w:gridCol w:w="95"/>
        <w:gridCol w:w="60"/>
        <w:gridCol w:w="60"/>
        <w:gridCol w:w="635"/>
        <w:gridCol w:w="334"/>
      </w:tblGrid>
      <w:tr>
        <w:trPr/>
        <w:tc>
          <w:tcPr>
            <w:tcW w:w="4374"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332" w:type="dxa"/>
            <w:gridSpan w:val="7"/>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60" w:type="dxa"/>
            <w:tcBorders/>
            <w:vAlign w:val="center"/>
          </w:tcPr>
          <w:p>
            <w:pPr>
              <w:pStyle w:val="TableContents"/>
              <w:bidi w:val="0"/>
              <w:spacing w:before="0" w:after="283"/>
              <w:jc w:val="left"/>
              <w:rPr/>
            </w:pPr>
            <w:r>
              <w:rPr/>
              <w:t> </w:t>
            </w:r>
          </w:p>
        </w:tc>
        <w:tc>
          <w:tcPr>
            <w:tcW w:w="2379"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Variance</w:t>
            </w:r>
          </w:p>
        </w:tc>
      </w:tr>
      <w:tr>
        <w:trPr/>
        <w:tc>
          <w:tcPr>
            <w:tcW w:w="43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163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2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029"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w:t>
            </w:r>
          </w:p>
        </w:tc>
      </w:tr>
      <w:tr>
        <w:trPr/>
        <w:tc>
          <w:tcPr>
            <w:tcW w:w="4374"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24,703,260</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33,744,589</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9,041,329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36.60</w:t>
            </w:r>
          </w:p>
        </w:tc>
        <w:tc>
          <w:tcPr>
            <w:tcW w:w="334" w:type="dxa"/>
            <w:tcBorders/>
            <w:shd w:fill="CCEEFF" w:val="clear"/>
            <w:vAlign w:val="center"/>
          </w:tcPr>
          <w:p>
            <w:pPr>
              <w:pStyle w:val="TableContents"/>
              <w:bidi w:val="0"/>
              <w:spacing w:before="0" w:after="283"/>
              <w:ind w:left="0" w:right="0" w:hanging="200"/>
              <w:jc w:val="left"/>
              <w:rPr/>
            </w:pPr>
            <w:r>
              <w:rPr/>
              <w:t>%</w:t>
            </w:r>
          </w:p>
        </w:tc>
      </w:tr>
      <w:tr>
        <w:trPr/>
        <w:tc>
          <w:tcPr>
            <w:tcW w:w="4374"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(12,383,783</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(19,452,423</w:t>
            </w:r>
          </w:p>
        </w:tc>
        <w:tc>
          <w:tcPr>
            <w:tcW w:w="109"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(7,068,640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57.08</w:t>
            </w:r>
          </w:p>
        </w:tc>
        <w:tc>
          <w:tcPr>
            <w:tcW w:w="334" w:type="dxa"/>
            <w:tcBorders/>
            <w:shd w:fill="FFFFFF" w:val="clear"/>
            <w:vAlign w:val="center"/>
          </w:tcPr>
          <w:p>
            <w:pPr>
              <w:pStyle w:val="TableContents"/>
              <w:bidi w:val="0"/>
              <w:spacing w:before="0" w:after="283"/>
              <w:ind w:left="0" w:right="0" w:hanging="200"/>
              <w:jc w:val="left"/>
              <w:rPr/>
            </w:pPr>
            <w:r>
              <w:rPr/>
              <w:t>%</w:t>
            </w:r>
          </w:p>
        </w:tc>
      </w:tr>
      <w:tr>
        <w:trPr/>
        <w:tc>
          <w:tcPr>
            <w:tcW w:w="4374"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b/>
              </w:rPr>
            </w:pPr>
            <w:r>
              <w:rPr>
                <w:b/>
              </w:rPr>
              <w:t>12,319,477</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b/>
              </w:rPr>
            </w:pPr>
            <w:r>
              <w:rPr>
                <w:b/>
              </w:rPr>
              <w:t>14,292,166</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1,972,689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16.01</w:t>
            </w:r>
          </w:p>
        </w:tc>
        <w:tc>
          <w:tcPr>
            <w:tcW w:w="334" w:type="dxa"/>
            <w:tcBorders/>
            <w:shd w:fill="CCEEFF" w:val="clear"/>
            <w:vAlign w:val="center"/>
          </w:tcPr>
          <w:p>
            <w:pPr>
              <w:pStyle w:val="TableContents"/>
              <w:bidi w:val="0"/>
              <w:spacing w:before="0" w:after="283"/>
              <w:ind w:left="0" w:right="0" w:hanging="200"/>
              <w:jc w:val="left"/>
              <w:rPr>
                <w:b/>
              </w:rPr>
            </w:pPr>
            <w:r>
              <w:rPr>
                <w:b/>
              </w:rPr>
              <w:t>%</w:t>
            </w:r>
          </w:p>
        </w:tc>
      </w:tr>
      <w:tr>
        <w:trPr/>
        <w:tc>
          <w:tcPr>
            <w:tcW w:w="4374"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(2,690,131</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(4,112,062</w:t>
            </w:r>
          </w:p>
        </w:tc>
        <w:tc>
          <w:tcPr>
            <w:tcW w:w="109"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(1,421,931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52.86</w:t>
            </w:r>
          </w:p>
        </w:tc>
        <w:tc>
          <w:tcPr>
            <w:tcW w:w="334" w:type="dxa"/>
            <w:tcBorders/>
            <w:shd w:fill="FFFFFF" w:val="clear"/>
            <w:vAlign w:val="center"/>
          </w:tcPr>
          <w:p>
            <w:pPr>
              <w:pStyle w:val="TableContents"/>
              <w:bidi w:val="0"/>
              <w:spacing w:before="0" w:after="283"/>
              <w:ind w:left="0" w:right="0" w:hanging="200"/>
              <w:jc w:val="left"/>
              <w:rPr/>
            </w:pPr>
            <w:r>
              <w:rPr/>
              <w:t>%</w:t>
            </w:r>
          </w:p>
        </w:tc>
      </w:tr>
      <w:tr>
        <w:trPr/>
        <w:tc>
          <w:tcPr>
            <w:tcW w:w="4374" w:type="dxa"/>
            <w:tcBorders/>
            <w:shd w:fill="CCEEFF" w:val="clear"/>
            <w:vAlign w:val="center"/>
          </w:tcPr>
          <w:p>
            <w:pPr>
              <w:pStyle w:val="TableContents"/>
              <w:bidi w:val="0"/>
              <w:spacing w:before="0" w:after="283"/>
              <w:jc w:val="left"/>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(3,555,816</w:t>
            </w:r>
          </w:p>
        </w:tc>
        <w:tc>
          <w:tcPr>
            <w:tcW w:w="109"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(4,243,018</w:t>
            </w:r>
          </w:p>
        </w:tc>
        <w:tc>
          <w:tcPr>
            <w:tcW w:w="10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(687,202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19.33</w:t>
            </w:r>
          </w:p>
        </w:tc>
        <w:tc>
          <w:tcPr>
            <w:tcW w:w="334" w:type="dxa"/>
            <w:tcBorders/>
            <w:shd w:fill="CCEEFF" w:val="clear"/>
            <w:vAlign w:val="center"/>
          </w:tcPr>
          <w:p>
            <w:pPr>
              <w:pStyle w:val="TableContents"/>
              <w:bidi w:val="0"/>
              <w:spacing w:before="0" w:after="283"/>
              <w:ind w:left="0" w:right="0" w:hanging="200"/>
              <w:jc w:val="left"/>
              <w:rPr/>
            </w:pPr>
            <w:r>
              <w:rPr/>
              <w:t>%</w:t>
            </w:r>
          </w:p>
        </w:tc>
      </w:tr>
      <w:tr>
        <w:trPr/>
        <w:tc>
          <w:tcPr>
            <w:tcW w:w="4374" w:type="dxa"/>
            <w:tcBorders/>
            <w:shd w:fill="FFFFFF" w:val="clear"/>
            <w:vAlign w:val="center"/>
          </w:tcPr>
          <w:p>
            <w:pPr>
              <w:pStyle w:val="TableContents"/>
              <w:bidi w:val="0"/>
              <w:spacing w:before="0" w:after="283"/>
              <w:jc w:val="left"/>
              <w:rPr/>
            </w:pPr>
            <w:r>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(212,193</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(280,698</w:t>
            </w:r>
          </w:p>
        </w:tc>
        <w:tc>
          <w:tcPr>
            <w:tcW w:w="109"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(68,505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32.28</w:t>
            </w:r>
          </w:p>
        </w:tc>
        <w:tc>
          <w:tcPr>
            <w:tcW w:w="334" w:type="dxa"/>
            <w:tcBorders/>
            <w:shd w:fill="FFFFFF" w:val="clear"/>
            <w:vAlign w:val="center"/>
          </w:tcPr>
          <w:p>
            <w:pPr>
              <w:pStyle w:val="TableContents"/>
              <w:bidi w:val="0"/>
              <w:spacing w:before="0" w:after="283"/>
              <w:ind w:left="0" w:right="0" w:hanging="200"/>
              <w:jc w:val="left"/>
              <w:rPr/>
            </w:pPr>
            <w:r>
              <w:rPr/>
              <w:t>%</w:t>
            </w:r>
          </w:p>
        </w:tc>
      </w:tr>
      <w:tr>
        <w:trPr/>
        <w:tc>
          <w:tcPr>
            <w:tcW w:w="4374" w:type="dxa"/>
            <w:tcBorders/>
            <w:shd w:fill="CCEEFF" w:val="clear"/>
            <w:vAlign w:val="center"/>
          </w:tcPr>
          <w:p>
            <w:pPr>
              <w:pStyle w:val="TableContents"/>
              <w:bidi w:val="0"/>
              <w:spacing w:before="0" w:after="283"/>
              <w:jc w:val="left"/>
              <w:rPr>
                <w:b/>
              </w:rPr>
            </w:pPr>
            <w:r>
              <w:rPr>
                <w:b/>
              </w:rPr>
              <w:t>Income from operations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b/>
              </w:rPr>
            </w:pPr>
            <w:r>
              <w:rPr>
                <w:b/>
              </w:rPr>
              <w:t>5,861,337</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b/>
              </w:rPr>
            </w:pPr>
            <w:r>
              <w:rPr>
                <w:b/>
              </w:rPr>
              <w:t>5,656,388</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(204,949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(3.50</w:t>
            </w:r>
          </w:p>
        </w:tc>
        <w:tc>
          <w:tcPr>
            <w:tcW w:w="334" w:type="dxa"/>
            <w:tcBorders/>
            <w:shd w:fill="CCEEFF" w:val="clear"/>
            <w:vAlign w:val="center"/>
          </w:tcPr>
          <w:p>
            <w:pPr>
              <w:pStyle w:val="TableContents"/>
              <w:bidi w:val="0"/>
              <w:spacing w:before="0" w:after="283"/>
              <w:ind w:left="0" w:right="0" w:hanging="200"/>
              <w:jc w:val="left"/>
              <w:rPr>
                <w:b/>
              </w:rPr>
            </w:pPr>
            <w:r>
              <w:rPr>
                <w:b/>
              </w:rPr>
              <w:t>)%</w:t>
            </w:r>
          </w:p>
        </w:tc>
      </w:tr>
      <w:tr>
        <w:trPr/>
        <w:tc>
          <w:tcPr>
            <w:tcW w:w="4374"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1,910,538</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1,373,915</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(536,623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(28.09</w:t>
            </w:r>
          </w:p>
        </w:tc>
        <w:tc>
          <w:tcPr>
            <w:tcW w:w="334" w:type="dxa"/>
            <w:tcBorders/>
            <w:shd w:fill="FFFFFF" w:val="clear"/>
            <w:vAlign w:val="center"/>
          </w:tcPr>
          <w:p>
            <w:pPr>
              <w:pStyle w:val="TableContents"/>
              <w:bidi w:val="0"/>
              <w:spacing w:before="0" w:after="283"/>
              <w:ind w:left="0" w:right="0" w:hanging="200"/>
              <w:jc w:val="left"/>
              <w:rPr/>
            </w:pPr>
            <w:r>
              <w:rPr/>
              <w:t>)%</w:t>
            </w:r>
          </w:p>
        </w:tc>
      </w:tr>
      <w:tr>
        <w:trPr/>
        <w:tc>
          <w:tcPr>
            <w:tcW w:w="4374" w:type="dxa"/>
            <w:tcBorders/>
            <w:shd w:fill="CCEEFF" w:val="clear"/>
            <w:vAlign w:val="center"/>
          </w:tcPr>
          <w:p>
            <w:pPr>
              <w:pStyle w:val="TableContents"/>
              <w:bidi w:val="0"/>
              <w:spacing w:before="0" w:after="283"/>
              <w:jc w:val="left"/>
              <w:rPr>
                <w:b/>
              </w:rPr>
            </w:pPr>
            <w:r>
              <w:rPr>
                <w:b/>
              </w:rPr>
              <w:t>Income before income tax provision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b/>
              </w:rPr>
            </w:pPr>
            <w:r>
              <w:rPr>
                <w:b/>
              </w:rPr>
              <w:t>7,771,875</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b/>
              </w:rPr>
            </w:pPr>
            <w:r>
              <w:rPr>
                <w:b/>
              </w:rPr>
              <w:t>7,030,303</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(741,572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(9.54</w:t>
            </w:r>
          </w:p>
        </w:tc>
        <w:tc>
          <w:tcPr>
            <w:tcW w:w="334" w:type="dxa"/>
            <w:tcBorders/>
            <w:shd w:fill="CCEEFF" w:val="clear"/>
            <w:vAlign w:val="center"/>
          </w:tcPr>
          <w:p>
            <w:pPr>
              <w:pStyle w:val="TableContents"/>
              <w:bidi w:val="0"/>
              <w:spacing w:before="0" w:after="283"/>
              <w:ind w:left="0" w:right="0" w:hanging="200"/>
              <w:jc w:val="left"/>
              <w:rPr>
                <w:b/>
              </w:rPr>
            </w:pPr>
            <w:r>
              <w:rPr>
                <w:b/>
              </w:rPr>
              <w:t>)%</w:t>
            </w:r>
          </w:p>
        </w:tc>
      </w:tr>
      <w:tr>
        <w:trPr/>
        <w:tc>
          <w:tcPr>
            <w:tcW w:w="4374"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(1,931,362</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(1,789,902</w:t>
            </w:r>
          </w:p>
        </w:tc>
        <w:tc>
          <w:tcPr>
            <w:tcW w:w="109"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141,460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(7.32</w:t>
            </w:r>
          </w:p>
        </w:tc>
        <w:tc>
          <w:tcPr>
            <w:tcW w:w="334" w:type="dxa"/>
            <w:tcBorders/>
            <w:shd w:fill="FFFFFF" w:val="clear"/>
            <w:vAlign w:val="center"/>
          </w:tcPr>
          <w:p>
            <w:pPr>
              <w:pStyle w:val="TableContents"/>
              <w:bidi w:val="0"/>
              <w:spacing w:before="0" w:after="283"/>
              <w:ind w:left="0" w:right="0" w:hanging="200"/>
              <w:jc w:val="left"/>
              <w:rPr/>
            </w:pPr>
            <w:r>
              <w:rPr/>
              <w:t>)%</w:t>
            </w:r>
          </w:p>
        </w:tc>
      </w:tr>
      <w:tr>
        <w:trPr/>
        <w:tc>
          <w:tcPr>
            <w:tcW w:w="4374"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b/>
              </w:rPr>
            </w:pPr>
            <w:r>
              <w:rPr>
                <w:b/>
              </w:rPr>
              <w:t>5,840,513</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b/>
              </w:rPr>
            </w:pPr>
            <w:r>
              <w:rPr>
                <w:b/>
              </w:rPr>
              <w:t>5,240,401</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(600,112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(10.27</w:t>
            </w:r>
          </w:p>
        </w:tc>
        <w:tc>
          <w:tcPr>
            <w:tcW w:w="334" w:type="dxa"/>
            <w:tcBorders/>
            <w:shd w:fill="CCEEFF" w:val="clear"/>
            <w:vAlign w:val="center"/>
          </w:tcPr>
          <w:p>
            <w:pPr>
              <w:pStyle w:val="TableContents"/>
              <w:bidi w:val="0"/>
              <w:spacing w:before="0" w:after="283"/>
              <w:ind w:left="0" w:right="0" w:hanging="200"/>
              <w:jc w:val="left"/>
              <w:rPr>
                <w:b/>
              </w:rPr>
            </w:pPr>
            <w:r>
              <w:rPr>
                <w:b/>
              </w:rPr>
              <w:t>)%</w:t>
            </w:r>
          </w:p>
        </w:tc>
      </w:tr>
      <w:tr>
        <w:trPr/>
        <w:tc>
          <w:tcPr>
            <w:tcW w:w="4374" w:type="dxa"/>
            <w:tcBorders/>
            <w:shd w:fill="FFFFFF" w:val="clear"/>
            <w:vAlign w:val="center"/>
          </w:tcPr>
          <w:p>
            <w:pPr>
              <w:pStyle w:val="TableContents"/>
              <w:bidi w:val="0"/>
              <w:spacing w:before="0" w:after="283"/>
              <w:jc w:val="left"/>
              <w:rPr/>
            </w:pPr>
            <w:r>
              <w:rPr/>
              <w:t>Net income/(loss)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(10,569</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(4,941</w:t>
            </w:r>
          </w:p>
        </w:tc>
        <w:tc>
          <w:tcPr>
            <w:tcW w:w="109"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(53.25</w:t>
            </w:r>
          </w:p>
        </w:tc>
        <w:tc>
          <w:tcPr>
            <w:tcW w:w="334" w:type="dxa"/>
            <w:tcBorders/>
            <w:shd w:fill="FFFFFF" w:val="clear"/>
            <w:vAlign w:val="center"/>
          </w:tcPr>
          <w:p>
            <w:pPr>
              <w:pStyle w:val="TableContents"/>
              <w:bidi w:val="0"/>
              <w:spacing w:before="0" w:after="283"/>
              <w:ind w:left="0" w:right="0" w:hanging="200"/>
              <w:jc w:val="left"/>
              <w:rPr/>
            </w:pPr>
            <w:r>
              <w:rPr/>
              <w:t>)%</w:t>
            </w:r>
          </w:p>
        </w:tc>
      </w:tr>
      <w:tr>
        <w:trPr/>
        <w:tc>
          <w:tcPr>
            <w:tcW w:w="4374" w:type="dxa"/>
            <w:tcBorders/>
            <w:shd w:fill="CCEEFF" w:val="clear"/>
            <w:vAlign w:val="center"/>
          </w:tcPr>
          <w:p>
            <w:pPr>
              <w:pStyle w:val="TableContents"/>
              <w:bidi w:val="0"/>
              <w:spacing w:before="0" w:after="283"/>
              <w:jc w:val="left"/>
              <w:rPr>
                <w:b/>
              </w:rPr>
            </w:pPr>
            <w:r>
              <w:rPr>
                <w:b/>
              </w:rPr>
              <w:t>Net income attributable to Company’s shareholders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5,851,082</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5,245,342</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(605,740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(10.35</w:t>
            </w:r>
          </w:p>
        </w:tc>
        <w:tc>
          <w:tcPr>
            <w:tcW w:w="334" w:type="dxa"/>
            <w:tcBorders/>
            <w:shd w:fill="CCEEFF" w:val="clear"/>
            <w:vAlign w:val="center"/>
          </w:tcPr>
          <w:p>
            <w:pPr>
              <w:pStyle w:val="TableContents"/>
              <w:bidi w:val="0"/>
              <w:spacing w:before="0" w:after="283"/>
              <w:jc w:val="left"/>
              <w:rPr>
                <w:b/>
              </w:rPr>
            </w:pPr>
            <w:r>
              <w:rPr>
                <w:b/>
              </w:rPr>
              <w:t>)%</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mainly represent revenues from product sales. For the six months ended June 30, 2025 and 2026, our total revenues were US$24.70 million and US$33.74 million, respectively. Revenues generated from customers in China accounted for 87.91% and 72.26% of the total revenue for the six months ended June 30, 2025 and 2026  ,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from sales of hardware products increased by US$9.04 million or approximately 36.60% to US$33.74 million for the six months ended June 30, 2026 from US$24.70 million for the six months ended June 30, 2025. The increase was mainly due to the average sales unit price for the six months ended June 30, 2026 increased by 35.29% compared to that for the six months ended June 30,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turned parts, the average sales unit price for the six months ended June 30, 2026 increased by 44.32% with a slightly decrease in sales volume, compared to that for the six months ended June 30, 2025, contributing an increase of US$5.04 million in revenue. For screws products, the average sales unit price for the six months ended June 30, 2026 increased by 17.82% with a slightly decrease in sales volume, compared to that for the six months ended June 30, 2025, contributing an increase of US$1.29 million in revenue. For stamping parts, the sales volume and average unit price for the six months ended June 30, 2026 increased by 16.69% and 44.24%, respectively, compared to that for the six months ended June 30, 2025, contributing an increase of US$1.75 million in revenue. Accordingly, our revenue growth from product sales was primarily attributable to an overall rise in average sales unit price, which was driven by higher average unit cost as discussed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mainly consists of (i) raw materials, (ii) direct and indirect labor and related benefits, and (iii) manufacturing overhead that is directly attributable to the production process.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increased by 57.08% from US$12.38 million for the six months ended June 30, 2025 to US$19.45 million for the six months ended June 30, 2026, which was mainly due to the increase of average unit cost. The increase was driven by i) higher material procurement prices coupled with increased material consumption from the expanded production scale of new products, and ii) increased labor costs as more personnel required and more complex manufacturing procedures involved in the production of new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profit margin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represents our net revenues less cost of revenues. Our gross profit margin represents our gross profit as a percentage of our net revenues.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overall gross profit margin:</w:t>
      </w:r>
    </w:p>
    <w:p>
      <w:pPr>
        <w:pStyle w:val="TextBody"/>
        <w:bidi w:val="0"/>
        <w:jc w:val="both"/>
        <w:rPr>
          <w:caps w:val="false"/>
          <w:smallCaps w:val="false"/>
        </w:rPr>
      </w:pPr>
      <w:r>
        <w:rPr>
          <w:caps w:val="false"/>
          <w:smallCaps w:val="false"/>
        </w:rPr>
        <w:t> </w:t>
      </w:r>
    </w:p>
    <w:tbl>
      <w:tblPr>
        <w:tblW w:w="8004" w:type="dxa"/>
        <w:jc w:val="left"/>
        <w:tblInd w:w="0" w:type="dxa"/>
        <w:tblLayout w:type="fixed"/>
        <w:tblCellMar>
          <w:top w:w="0" w:type="dxa"/>
          <w:left w:w="0" w:type="dxa"/>
          <w:bottom w:w="0" w:type="dxa"/>
          <w:right w:w="0" w:type="dxa"/>
        </w:tblCellMar>
      </w:tblPr>
      <w:tblGrid>
        <w:gridCol w:w="1880"/>
        <w:gridCol w:w="60"/>
        <w:gridCol w:w="157"/>
        <w:gridCol w:w="1318"/>
        <w:gridCol w:w="241"/>
        <w:gridCol w:w="67"/>
        <w:gridCol w:w="157"/>
        <w:gridCol w:w="1318"/>
        <w:gridCol w:w="241"/>
        <w:gridCol w:w="60"/>
        <w:gridCol w:w="140"/>
        <w:gridCol w:w="1055"/>
        <w:gridCol w:w="95"/>
        <w:gridCol w:w="215"/>
        <w:gridCol w:w="60"/>
        <w:gridCol w:w="635"/>
        <w:gridCol w:w="305"/>
      </w:tblGrid>
      <w:tr>
        <w:trPr/>
        <w:tc>
          <w:tcPr>
            <w:tcW w:w="188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499" w:type="dxa"/>
            <w:gridSpan w:val="7"/>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60" w:type="dxa"/>
            <w:tcBorders/>
            <w:vAlign w:val="center"/>
          </w:tcPr>
          <w:p>
            <w:pPr>
              <w:pStyle w:val="TableContents"/>
              <w:bidi w:val="0"/>
              <w:spacing w:before="0" w:after="283"/>
              <w:jc w:val="left"/>
              <w:rPr/>
            </w:pPr>
            <w:r>
              <w:rPr/>
              <w:t> </w:t>
            </w:r>
          </w:p>
        </w:tc>
        <w:tc>
          <w:tcPr>
            <w:tcW w:w="2505"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Variance</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7" w:type="dxa"/>
            <w:tcBorders/>
            <w:vAlign w:val="center"/>
          </w:tcPr>
          <w:p>
            <w:pPr>
              <w:pStyle w:val="TableContents"/>
              <w:bidi w:val="0"/>
              <w:spacing w:before="0" w:after="283"/>
              <w:jc w:val="left"/>
              <w:rPr/>
            </w:pPr>
            <w:r>
              <w:rPr/>
              <w:t> </w:t>
            </w:r>
          </w:p>
        </w:tc>
        <w:tc>
          <w:tcPr>
            <w:tcW w:w="171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2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15" w:type="dxa"/>
            <w:tcBorders/>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w:t>
            </w:r>
          </w:p>
        </w:tc>
      </w:tr>
      <w:tr>
        <w:trPr/>
        <w:tc>
          <w:tcPr>
            <w:tcW w:w="188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24,703,260</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33,744,589</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9,041,329</w:t>
            </w:r>
          </w:p>
        </w:tc>
        <w:tc>
          <w:tcPr>
            <w:tcW w:w="9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36.60</w:t>
            </w:r>
          </w:p>
        </w:tc>
        <w:tc>
          <w:tcPr>
            <w:tcW w:w="305" w:type="dxa"/>
            <w:tcBorders/>
            <w:shd w:fill="CCEEFF" w:val="clear"/>
            <w:vAlign w:val="center"/>
          </w:tcPr>
          <w:p>
            <w:pPr>
              <w:pStyle w:val="TableContents"/>
              <w:bidi w:val="0"/>
              <w:spacing w:before="0" w:after="283"/>
              <w:ind w:left="0" w:right="0" w:hanging="200"/>
              <w:jc w:val="left"/>
              <w:rPr/>
            </w:pPr>
            <w:r>
              <w:rPr/>
              <w:t>%</w:t>
            </w:r>
          </w:p>
        </w:tc>
      </w:tr>
      <w:tr>
        <w:trPr/>
        <w:tc>
          <w:tcPr>
            <w:tcW w:w="188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(12,383,783</w:t>
            </w:r>
          </w:p>
        </w:tc>
        <w:tc>
          <w:tcPr>
            <w:tcW w:w="241"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(19,452,423</w:t>
            </w:r>
          </w:p>
        </w:tc>
        <w:tc>
          <w:tcPr>
            <w:tcW w:w="24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(7,068,640</w:t>
            </w:r>
          </w:p>
        </w:tc>
        <w:tc>
          <w:tcPr>
            <w:tcW w:w="95" w:type="dxa"/>
            <w:tcBorders/>
            <w:shd w:fill="FFFFFF" w:val="clear"/>
            <w:vAlign w:val="center"/>
          </w:tcPr>
          <w:p>
            <w:pPr>
              <w:pStyle w:val="TableContents"/>
              <w:bidi w:val="0"/>
              <w:spacing w:before="0" w:after="283"/>
              <w:jc w:val="lef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57.08</w:t>
            </w:r>
          </w:p>
        </w:tc>
        <w:tc>
          <w:tcPr>
            <w:tcW w:w="305" w:type="dxa"/>
            <w:tcBorders/>
            <w:shd w:fill="FFFFFF" w:val="clear"/>
            <w:vAlign w:val="center"/>
          </w:tcPr>
          <w:p>
            <w:pPr>
              <w:pStyle w:val="TableContents"/>
              <w:bidi w:val="0"/>
              <w:spacing w:before="0" w:after="283"/>
              <w:ind w:left="0" w:right="0" w:hanging="200"/>
              <w:jc w:val="left"/>
              <w:rPr/>
            </w:pPr>
            <w:r>
              <w:rPr/>
              <w:t>%</w:t>
            </w:r>
          </w:p>
        </w:tc>
      </w:tr>
      <w:tr>
        <w:trPr/>
        <w:tc>
          <w:tcPr>
            <w:tcW w:w="188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12,319,477</w:t>
            </w:r>
          </w:p>
        </w:tc>
        <w:tc>
          <w:tcPr>
            <w:tcW w:w="241"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14,292,166</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1,972,689</w:t>
            </w:r>
          </w:p>
        </w:tc>
        <w:tc>
          <w:tcPr>
            <w:tcW w:w="9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16.01</w:t>
            </w:r>
          </w:p>
        </w:tc>
        <w:tc>
          <w:tcPr>
            <w:tcW w:w="305" w:type="dxa"/>
            <w:tcBorders/>
            <w:shd w:fill="CCEEFF" w:val="clear"/>
            <w:vAlign w:val="center"/>
          </w:tcPr>
          <w:p>
            <w:pPr>
              <w:pStyle w:val="TableContents"/>
              <w:bidi w:val="0"/>
              <w:spacing w:before="0" w:after="283"/>
              <w:ind w:left="0" w:right="0" w:hanging="200"/>
              <w:jc w:val="left"/>
              <w:rPr>
                <w:b/>
              </w:rPr>
            </w:pPr>
            <w:r>
              <w:rPr>
                <w:b/>
              </w:rPr>
              <w:t>%</w:t>
            </w:r>
          </w:p>
        </w:tc>
      </w:tr>
      <w:tr>
        <w:trPr/>
        <w:tc>
          <w:tcPr>
            <w:tcW w:w="1880" w:type="dxa"/>
            <w:tcBorders/>
            <w:shd w:fill="FFFFFF" w:val="clear"/>
            <w:vAlign w:val="center"/>
          </w:tcPr>
          <w:p>
            <w:pPr>
              <w:pStyle w:val="TableContents"/>
              <w:bidi w:val="0"/>
              <w:spacing w:before="0" w:after="283"/>
              <w:jc w:val="left"/>
              <w:rPr/>
            </w:pPr>
            <w:r>
              <w:rPr/>
              <w:t>Gross profit margin</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49.87</w:t>
            </w:r>
          </w:p>
        </w:tc>
        <w:tc>
          <w:tcPr>
            <w:tcW w:w="241"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42.35</w:t>
            </w:r>
          </w:p>
        </w:tc>
        <w:tc>
          <w:tcPr>
            <w:tcW w:w="24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(7.52</w:t>
            </w:r>
          </w:p>
        </w:tc>
        <w:tc>
          <w:tcPr>
            <w:tcW w:w="95" w:type="dxa"/>
            <w:tcBorders/>
            <w:shd w:fill="FFFFFF" w:val="clear"/>
            <w:vAlign w:val="center"/>
          </w:tcPr>
          <w:p>
            <w:pPr>
              <w:pStyle w:val="TableContents"/>
              <w:bidi w:val="0"/>
              <w:spacing w:before="0" w:after="283"/>
              <w:jc w:val="left"/>
              <w:rPr/>
            </w:pPr>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(15.07</w:t>
            </w:r>
          </w:p>
        </w:tc>
        <w:tc>
          <w:tcPr>
            <w:tcW w:w="305" w:type="dxa"/>
            <w:tcBorders/>
            <w:shd w:fill="FFFF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US$1.97 million or approximately 16.01%, to US$14.29 million for the six months ended June 30, 2026 from US$12.32 million for the six months ended June 30, 2025. Our gross profit increased mainly due to the increased average sales unit price of our hardware products, and partially offset by the decreased sales volume.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margin decreased to 42.35% for the six months ended June 30, 2026 from 49.87% for the six months ended June 30, 2025, mainly attributable to the increase in average unit cost of our products. Despite a moderate increase in average sales unit price of our products, to remain competitive, such price growth was insufficient to fully offset the incremental manufacturing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(i) professional service fees, (ii) salaries and benefits for administrative personnel, and (iii) office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and administrative expenses increased by US$1.42 million or approximately 52.86%, to US$4.11 million for the six months ended June 30, 2026 from US$2.69 million for the six months ended June 30, 2025, which was primarily attributable to (i) an increase of US$0.63 million in share-based compensation expenses, (ii) an increase of US$0.16 million in salaries and benefits for administrative personnel due to an increase of employee headcounts resulting from our business growth, (iii) an increase of US$0.12 million in depreciation and amortization expenses, and (iv) an increase of US$0.40 million in other miscellaneous expenses due to business expansion.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primarily consist of (i) sales commission paid to generate sales and expand the market, (ii) salaries and benefits for sales and marketing personnel, and (iii) freight for selling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and marketing expenses increased by US$0.68 million or approximately 19.33%, to US$4.24 million for the six months ended June 30, 2026 from US$3.56 million for the six months ended June 30, 2025, which was primarily due to (i) an increase of US$0.31 million in sales commission resulting from business expansion into markets such as North America, Singapore, and Taiwan, China, (ii) an increase of US$0.10 million in salaries and benefits for sales and marketing personnel due to higher headcounts to support our business expansion, and (iii) an increase of US$0.18 million in freight costs for sale of products reflecting expanded overseas shipping demands.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primarily include (i) salaries and benefits for research and development personnel, (ii) depreciation expenses , and (iii) material consumption.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and development expenses increased by US$0.07 million or approximately 32.28%, to US$0.28 million for the six months ended June 30, 2026 from US$0.21 million for the six months ended June 30, 2025, which was primarily attributable to salaries and benefits for research and development personnel due to an increase of employee headcounts resulting from our business growth.</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from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income from operations decreased by US$0.20 million or approximately 3.50%, to US$5.66 million for the six months ended June 30, 2026 from US$5.86 million for the six months ended June 30,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mainly includes (i) share of profits from equity method investment, (ii) interest income, and (iii) currency exchange gain.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decreased by US$0.54 million, or approximately 28.09%, to US$1.37 million for the six months ended June 30, 2026 from US$1.91 million for the six months ended June 30, 2025, which was primarily attributable to the decrease of US$0.55 million in currency exchange gain.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provision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decreased by US$0.14 million, or approximately 7.32%, to US$1.79 million for the six months ended June 30, 2026 from US$1.93 million for the six months ended June 30, 2025, mainly due to a decrease of taxable income in the first half of 2026 compared to those in the first half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income decreased by US$0.60 million, or approximately 10.27%, to US$5.24 million for the six months ended June 30, 2026 from US$5.84 million for the six months ended June 30,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and Capital Resources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Primary Sources of Liquidity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consist of existing cash and cash equivalents, cash flows from our operating activities and availability under our loan arrangements with banks and certain third-party individuals. Our ability to generate sufficient cash flows from our operating activities is primarily dependent on our sales of our products to our customers at margins sufficient to cover fixed and variable expenses.</w:t>
      </w:r>
    </w:p>
    <w:p>
      <w:pPr>
        <w:pStyle w:val="TextBody"/>
        <w:bidi w:val="0"/>
        <w:jc w:val="both"/>
        <w:rPr>
          <w:caps w:val="false"/>
          <w:smallCaps w:val="false"/>
        </w:rPr>
      </w:pPr>
      <w:r>
        <w:rPr>
          <w:caps w:val="false"/>
          <w:smallCaps w:val="false"/>
        </w:rPr>
        <w:t> </w:t>
      </w:r>
    </w:p>
    <w:p>
      <w:pPr>
        <w:pStyle w:val="TextBody"/>
        <w:bidi w:val="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US$16.54 million, positive working capital of US$35.84 million and total equity of US$51.65 million. In assessing our liquidity, management monitors and analyzes our cash on-hand, the ability to generate sufficient revenue in the future, our operating and capital expenditure commitments, and our ability to raise funds through certain financing measures such as bank borrowing.</w:t>
      </w:r>
    </w:p>
    <w:p>
      <w:pPr>
        <w:pStyle w:val="TextBody"/>
        <w:bidi w:val="0"/>
        <w:ind w:left="0" w:right="0" w:hanging="1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finance our operations through our initial public offering and short-term loans provided by banks in China, if applicable, as presented in Note 15 Ordinary Shares of our unaudited condensed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amounts committed to be provided by our related parties. We are not dependent upon this offering to meet our liquidity needs for the next twelve months. However, we plan to expand our business by investing in manufacturing facilities, expanding sales network in North America, Singapore, and Taiwan, China and potential acquisition of or investment in businesses in the field of fasteners. We will need to raise more capital through financing, including our public offering and bank borrowing, to implement these growth strategies and strengthen our position in the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current operating plan, our management believes that the above-mentioned measures collectively will provide sufficient liquidity for us to meet our future liquidity and capital requirement for at least next twelve months from the date of this annual report.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Cash Flows for the Six Months Ended June 30, 2025 and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periods indicated:</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25"/>
        <w:gridCol w:w="60"/>
        <w:gridCol w:w="168"/>
        <w:gridCol w:w="1326"/>
        <w:gridCol w:w="71"/>
        <w:gridCol w:w="71"/>
        <w:gridCol w:w="168"/>
        <w:gridCol w:w="1326"/>
        <w:gridCol w:w="71"/>
        <w:gridCol w:w="60"/>
        <w:gridCol w:w="140"/>
        <w:gridCol w:w="980"/>
        <w:gridCol w:w="60"/>
        <w:gridCol w:w="60"/>
        <w:gridCol w:w="60"/>
        <w:gridCol w:w="680"/>
        <w:gridCol w:w="279"/>
      </w:tblGrid>
      <w:tr>
        <w:trPr/>
        <w:tc>
          <w:tcPr>
            <w:tcW w:w="4625"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3201" w:type="dxa"/>
            <w:gridSpan w:val="7"/>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60" w:type="dxa"/>
            <w:tcBorders/>
            <w:vAlign w:val="center"/>
          </w:tcPr>
          <w:p>
            <w:pPr>
              <w:pStyle w:val="TableContents"/>
              <w:bidi w:val="0"/>
              <w:spacing w:before="0" w:after="283"/>
              <w:jc w:val="left"/>
              <w:rPr/>
            </w:pPr>
            <w:r>
              <w:rPr/>
              <w:t> </w:t>
            </w:r>
          </w:p>
        </w:tc>
        <w:tc>
          <w:tcPr>
            <w:tcW w:w="2259"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Variance</w:t>
            </w:r>
          </w:p>
        </w:tc>
      </w:tr>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1" w:type="dxa"/>
            <w:tcBorders/>
            <w:vAlign w:val="center"/>
          </w:tcPr>
          <w:p>
            <w:pPr>
              <w:pStyle w:val="TableContents"/>
              <w:bidi w:val="0"/>
              <w:spacing w:before="0" w:after="283"/>
              <w:jc w:val="left"/>
              <w:rPr/>
            </w:pPr>
            <w:r>
              <w:rPr/>
              <w:t> </w:t>
            </w:r>
          </w:p>
        </w:tc>
        <w:tc>
          <w:tcPr>
            <w:tcW w:w="156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1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019"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b/>
              </w:rPr>
            </w:pPr>
            <w:r>
              <w:rPr>
                <w:b/>
              </w:rPr>
              <w:t>%</w:t>
            </w:r>
          </w:p>
        </w:tc>
      </w:tr>
      <w:tr>
        <w:trPr/>
        <w:tc>
          <w:tcPr>
            <w:tcW w:w="4625"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6" w:type="dxa"/>
            <w:tcBorders/>
            <w:shd w:fill="CCEEFF" w:val="clear"/>
            <w:vAlign w:val="center"/>
          </w:tcPr>
          <w:p>
            <w:pPr>
              <w:pStyle w:val="TableContents"/>
              <w:bidi w:val="0"/>
              <w:spacing w:before="0" w:after="283"/>
              <w:jc w:val="right"/>
              <w:rPr/>
            </w:pPr>
            <w:r>
              <w:rPr/>
              <w:t>2,480,916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6" w:type="dxa"/>
            <w:tcBorders/>
            <w:shd w:fill="CCEEFF" w:val="clear"/>
            <w:vAlign w:val="center"/>
          </w:tcPr>
          <w:p>
            <w:pPr>
              <w:pStyle w:val="TableContents"/>
              <w:bidi w:val="0"/>
              <w:spacing w:before="0" w:after="283"/>
              <w:jc w:val="right"/>
              <w:rPr/>
            </w:pPr>
            <w:r>
              <w:rPr/>
              <w:t>3,194,227</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713,311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28.75</w:t>
            </w:r>
          </w:p>
        </w:tc>
        <w:tc>
          <w:tcPr>
            <w:tcW w:w="279" w:type="dxa"/>
            <w:tcBorders/>
            <w:shd w:fill="CCEEFF" w:val="clear"/>
            <w:vAlign w:val="center"/>
          </w:tcPr>
          <w:p>
            <w:pPr>
              <w:pStyle w:val="TableContents"/>
              <w:bidi w:val="0"/>
              <w:spacing w:before="0" w:after="283"/>
              <w:ind w:left="0" w:right="0" w:hanging="200"/>
              <w:jc w:val="left"/>
              <w:rPr/>
            </w:pPr>
            <w:r>
              <w:rPr/>
              <w:t>%</w:t>
            </w:r>
          </w:p>
        </w:tc>
      </w:tr>
      <w:tr>
        <w:trPr/>
        <w:tc>
          <w:tcPr>
            <w:tcW w:w="4625" w:type="dxa"/>
            <w:tcBorders/>
            <w:shd w:fill="FFFFFF" w:val="clear"/>
            <w:vAlign w:val="center"/>
          </w:tcPr>
          <w:p>
            <w:pPr>
              <w:pStyle w:val="TableContents"/>
              <w:bidi w:val="0"/>
              <w:spacing w:before="0" w:after="283"/>
              <w:jc w:val="left"/>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125,747</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445,627</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319,880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254.38</w:t>
            </w:r>
          </w:p>
        </w:tc>
        <w:tc>
          <w:tcPr>
            <w:tcW w:w="279" w:type="dxa"/>
            <w:tcBorders/>
            <w:shd w:fill="FFFFFF" w:val="clear"/>
            <w:vAlign w:val="center"/>
          </w:tcPr>
          <w:p>
            <w:pPr>
              <w:pStyle w:val="TableContents"/>
              <w:bidi w:val="0"/>
              <w:spacing w:before="0" w:after="283"/>
              <w:ind w:left="0" w:right="0" w:hanging="200"/>
              <w:jc w:val="left"/>
              <w:rPr/>
            </w:pPr>
            <w:r>
              <w:rPr/>
              <w:t>%</w:t>
            </w:r>
          </w:p>
        </w:tc>
      </w:tr>
      <w:tr>
        <w:trPr/>
        <w:tc>
          <w:tcPr>
            <w:tcW w:w="462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64,955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116,171</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78.85</w:t>
            </w:r>
          </w:p>
        </w:tc>
        <w:tc>
          <w:tcPr>
            <w:tcW w:w="279" w:type="dxa"/>
            <w:tcBorders/>
            <w:shd w:fill="CCEEFF" w:val="clear"/>
            <w:vAlign w:val="center"/>
          </w:tcPr>
          <w:p>
            <w:pPr>
              <w:pStyle w:val="TableContents"/>
              <w:bidi w:val="0"/>
              <w:spacing w:before="0" w:after="283"/>
              <w:ind w:left="0" w:right="0" w:hanging="200"/>
              <w:jc w:val="left"/>
              <w:rPr/>
            </w:pPr>
            <w:r>
              <w:rPr/>
              <w:t>%</w:t>
            </w:r>
          </w:p>
        </w:tc>
      </w:tr>
      <w:tr>
        <w:trPr/>
        <w:tc>
          <w:tcPr>
            <w:tcW w:w="4625" w:type="dxa"/>
            <w:tcBorders/>
            <w:shd w:fill="FFFFFF" w:val="clear"/>
            <w:vAlign w:val="center"/>
          </w:tcPr>
          <w:p>
            <w:pPr>
              <w:pStyle w:val="TableContents"/>
              <w:bidi w:val="0"/>
              <w:spacing w:before="0" w:after="283"/>
              <w:jc w:val="left"/>
              <w:rPr/>
            </w:pPr>
            <w:r>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pPr>
            <w:r>
              <w:rPr/>
              <w:t>211,903</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pPr>
            <w:r>
              <w:rPr/>
              <w:t>884,072</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672,169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317.21</w:t>
            </w:r>
          </w:p>
        </w:tc>
        <w:tc>
          <w:tcPr>
            <w:tcW w:w="279" w:type="dxa"/>
            <w:tcBorders/>
            <w:shd w:fill="FFFFFF" w:val="clear"/>
            <w:vAlign w:val="center"/>
          </w:tcPr>
          <w:p>
            <w:pPr>
              <w:pStyle w:val="TableContents"/>
              <w:bidi w:val="0"/>
              <w:spacing w:before="0" w:after="283"/>
              <w:ind w:left="0" w:right="0" w:hanging="200"/>
              <w:jc w:val="left"/>
              <w:rPr/>
            </w:pPr>
            <w:r>
              <w:rPr/>
              <w:t>%</w:t>
            </w:r>
          </w:p>
        </w:tc>
      </w:tr>
      <w:tr>
        <w:trPr/>
        <w:tc>
          <w:tcPr>
            <w:tcW w:w="4625" w:type="dxa"/>
            <w:tcBorders/>
            <w:shd w:fill="CCEEFF" w:val="clear"/>
            <w:vAlign w:val="center"/>
          </w:tcPr>
          <w:p>
            <w:pPr>
              <w:pStyle w:val="TableContents"/>
              <w:bidi w:val="0"/>
              <w:spacing w:before="0" w:after="283"/>
              <w:jc w:val="left"/>
              <w:rPr>
                <w:b/>
              </w:rPr>
            </w:pPr>
            <w:r>
              <w:rPr>
                <w:b/>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b/>
              </w:rPr>
            </w:pPr>
            <w:r>
              <w:rPr>
                <w:b/>
              </w:rPr>
              <w:t>$</w:t>
            </w:r>
          </w:p>
        </w:tc>
        <w:tc>
          <w:tcPr>
            <w:tcW w:w="1326" w:type="dxa"/>
            <w:tcBorders/>
            <w:shd w:fill="CCEEFF" w:val="clear"/>
            <w:vAlign w:val="center"/>
          </w:tcPr>
          <w:p>
            <w:pPr>
              <w:pStyle w:val="TableContents"/>
              <w:bidi w:val="0"/>
              <w:spacing w:before="0" w:after="283"/>
              <w:jc w:val="right"/>
              <w:rPr>
                <w:b/>
              </w:rPr>
            </w:pPr>
            <w:r>
              <w:rPr>
                <w:b/>
              </w:rPr>
              <w:t>2,883,521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b/>
              </w:rPr>
            </w:pPr>
            <w:r>
              <w:rPr>
                <w:b/>
              </w:rPr>
              <w:t>$</w:t>
            </w:r>
          </w:p>
        </w:tc>
        <w:tc>
          <w:tcPr>
            <w:tcW w:w="1326" w:type="dxa"/>
            <w:tcBorders/>
            <w:shd w:fill="CCEEFF" w:val="clear"/>
            <w:vAlign w:val="center"/>
          </w:tcPr>
          <w:p>
            <w:pPr>
              <w:pStyle w:val="TableContents"/>
              <w:bidi w:val="0"/>
              <w:spacing w:before="0" w:after="283"/>
              <w:jc w:val="right"/>
              <w:rPr>
                <w:b/>
              </w:rPr>
            </w:pPr>
            <w:r>
              <w:rPr>
                <w:b/>
              </w:rPr>
              <w:t>4,640,097</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1,756,576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60.92</w:t>
            </w:r>
          </w:p>
        </w:tc>
        <w:tc>
          <w:tcPr>
            <w:tcW w:w="279" w:type="dxa"/>
            <w:tcBorders/>
            <w:shd w:fill="CCEEFF" w:val="clear"/>
            <w:vAlign w:val="center"/>
          </w:tcPr>
          <w:p>
            <w:pPr>
              <w:pStyle w:val="TableContents"/>
              <w:bidi w:val="0"/>
              <w:spacing w:before="0" w:after="283"/>
              <w:ind w:left="0" w:right="0" w:hanging="200"/>
              <w:jc w:val="left"/>
              <w:rPr>
                <w:b/>
              </w:rPr>
            </w:pPr>
            <w:r>
              <w:rPr>
                <w:b/>
              </w:rPr>
              <w:t>%</w:t>
            </w:r>
          </w:p>
        </w:tc>
      </w:tr>
      <w:tr>
        <w:trPr/>
        <w:tc>
          <w:tcPr>
            <w:tcW w:w="4625" w:type="dxa"/>
            <w:tcBorders/>
            <w:shd w:fill="FFFFFF" w:val="clear"/>
            <w:vAlign w:val="center"/>
          </w:tcPr>
          <w:p>
            <w:pPr>
              <w:pStyle w:val="TableContents"/>
              <w:bidi w:val="0"/>
              <w:spacing w:before="0" w:after="283"/>
              <w:jc w:val="left"/>
              <w:rPr/>
            </w:pPr>
            <w:r>
              <w:rPr/>
              <w:t>Cash, cash equivalents and restricted cash at the beginning of period</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pPr>
            <w:r>
              <w:rPr/>
              <w:t>13,052,455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pPr>
            <w:r>
              <w:rPr/>
              <w:t>16,388,000</w:t>
            </w:r>
          </w:p>
        </w:tc>
        <w:tc>
          <w:tcPr>
            <w:tcW w:w="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3,335,545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25.55</w:t>
            </w:r>
          </w:p>
        </w:tc>
        <w:tc>
          <w:tcPr>
            <w:tcW w:w="279" w:type="dxa"/>
            <w:tcBorders/>
            <w:shd w:fill="FFFFFF" w:val="clear"/>
            <w:vAlign w:val="center"/>
          </w:tcPr>
          <w:p>
            <w:pPr>
              <w:pStyle w:val="TableContents"/>
              <w:bidi w:val="0"/>
              <w:spacing w:before="0" w:after="283"/>
              <w:ind w:left="0" w:right="0" w:hanging="200"/>
              <w:jc w:val="left"/>
              <w:rPr/>
            </w:pPr>
            <w:r>
              <w:rPr/>
              <w:t>%</w:t>
            </w:r>
          </w:p>
        </w:tc>
      </w:tr>
      <w:tr>
        <w:trPr/>
        <w:tc>
          <w:tcPr>
            <w:tcW w:w="4625" w:type="dxa"/>
            <w:tcBorders/>
            <w:shd w:fill="CCEEFF" w:val="clear"/>
            <w:vAlign w:val="center"/>
          </w:tcPr>
          <w:p>
            <w:pPr>
              <w:pStyle w:val="TableContents"/>
              <w:bidi w:val="0"/>
              <w:spacing w:before="0" w:after="283"/>
              <w:jc w:val="left"/>
              <w:rPr>
                <w:b/>
              </w:rPr>
            </w:pPr>
            <w:r>
              <w:rPr>
                <w:b/>
              </w:rPr>
              <w:t>Cash, cash equivalents and restricted cash at the end of period</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15,935,976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21,028,097</w:t>
            </w:r>
          </w:p>
        </w:tc>
        <w:tc>
          <w:tcPr>
            <w:tcW w:w="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5,092,121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31.95</w:t>
            </w:r>
          </w:p>
        </w:tc>
        <w:tc>
          <w:tcPr>
            <w:tcW w:w="279" w:type="dxa"/>
            <w:tcBorders/>
            <w:shd w:fill="CCEEFF" w:val="clear"/>
            <w:vAlign w:val="center"/>
          </w:tcPr>
          <w:p>
            <w:pPr>
              <w:pStyle w:val="TableContents"/>
              <w:bidi w:val="0"/>
              <w:spacing w:before="0" w:after="283"/>
              <w:jc w:val="left"/>
              <w:rPr>
                <w:b/>
              </w:rPr>
            </w:pPr>
            <w:r>
              <w:rPr>
                <w:b/>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our net cash provided by operating activities was US$3.19 million, which was primarily attributable to (i) our net income of US$5.24 million, (ii) an adjustment of added non-cash items of a net amount of US$1.06 million, mainly inclusive of share of income equity method investments, share-based compensation, depreciation and amortization, provision for inventories and other non-cash items, (iii) changes in working capital that positively affected the cash flow from operating activities, primarily including a decrease of US$2.73 million in accounts receivable from related party mainly due to enhanced receivables collection efficiency, and partially offset by (iv) changes in working capital that negatively affected the cash flow from operating activities, primarily including (a) an increase of US$2.54 million in inventories due to the expansion of our sales scale and the increase of our stock level, (b) a total increase of US$1.67 million in prepaid expenses and other current assets mainly due to the increase of dividend receivable from PSM-ZJK, which was fully received in July 2026; and (c) a total decrease of US$3.0 million in accounts payable and notes payable mainly due to the payments for raw materials to match the business expansion.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our net cash provided by operating activities was US$2.48 million, which was primarily attributable to (i) our net income of US$5.84 million, (ii) an adjustment of added non-cash items of a net amount of US$0.53 million, mainly inclusive of share of income equity method investments, share-based compensation, depreciation and amortization, provision for inventories and other non-cash items, (iii) changes in working capital that positively affected the cash flow from operating activities, primarily including an increase of US$1.15 million in income tax payable mainly due to an increase of taxable income and non-deductible expenses, and partially offset by (iv) changes in working capital that negatively affected the cash flow from operating activities, primarily including (a) an increase of US$2.62 million in inventories due to the expansion of our sales scale and the increase of our stock level, (b) a total decrease of US$2.29 million in accounts payable and notes payable mainly for the growth in our sales volume, which led to an increase in procurement; (c) a total increase of US$0.35 million in accounts receivable and accounts receivable-due from related parties mainly for the increase in sales of products sold to both third parties and related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our net cash provided by investing activities was US$0.45 million which was primarily attributable to i) proceeds from the dividends received from long-term investment of US$1.74 million and ii) net proceeds from short-term investment of US$0.10 million, and partially offset by the expenditure for purchasing of machinery and equipment, construction in progress, intangible assets and leasehold improvement   of US$1.41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our net cash provided by investing activities was US$0.13 million which was primarily attributable to (i) proceeds from the dividends received from long-term investment of US$1.35 million, (ii) proceeds from short-term investments of US$0.29 million, (iii) collection of loans to related parties of US$0.18 million, and partially offset by (iv) the expenditure for purchasing of machinery and equipment and leasehold improvement of US$1.35 million, (v) loans to related parties of US$0.31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our net cash provided by financing activities was US$0.12 million, which was entirely attributable to contribution from non-controlling shareholders.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our net cash provided by financing activities was US$0.06 million, which was primarily attributable to (i) proceeds of US$1.38 million from short-term bank borrowings, and offset by (ii) repayments of short-term bank borrowings of US$1.32 million.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relating to claims arising in the ordinary course of the business. There are no claims or actions pending or threatened against us that, if adversely determined, would in our judgment have a material adverse effect on us.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expenditures consist primarily of expenditures for the construction of plant and purchase of fixed assets for our business expansion. Our capital expenditures amounted to US$1.39 million and US$1.41 million for the six months ended June 30, 2025 and 2026, respectively. We plan to fund our future capital expenditures with our existing cash and cash equivalents balance and proceeds from this offering. We will continue to make capital expenditures to meet the expected growth of our business.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contractual obligations as of June 30, 2026:</w:t>
      </w:r>
    </w:p>
    <w:p>
      <w:pPr>
        <w:pStyle w:val="TextBody"/>
        <w:bidi w:val="0"/>
        <w:jc w:val="both"/>
        <w:rPr>
          <w:caps w:val="false"/>
          <w:smallCaps w:val="false"/>
        </w:rPr>
      </w:pPr>
      <w:r>
        <w:rPr>
          <w:caps w:val="false"/>
          <w:smallCaps w:val="false"/>
        </w:rPr>
        <w:t> </w:t>
      </w:r>
    </w:p>
    <w:tbl>
      <w:tblPr>
        <w:tblW w:w="8554" w:type="dxa"/>
        <w:jc w:val="left"/>
        <w:tblInd w:w="0" w:type="dxa"/>
        <w:tblLayout w:type="fixed"/>
        <w:tblCellMar>
          <w:top w:w="0" w:type="dxa"/>
          <w:left w:w="0" w:type="dxa"/>
          <w:bottom w:w="0" w:type="dxa"/>
          <w:right w:w="0" w:type="dxa"/>
        </w:tblCellMar>
      </w:tblPr>
      <w:tblGrid>
        <w:gridCol w:w="2825"/>
        <w:gridCol w:w="60"/>
        <w:gridCol w:w="140"/>
        <w:gridCol w:w="980"/>
        <w:gridCol w:w="60"/>
        <w:gridCol w:w="60"/>
        <w:gridCol w:w="147"/>
        <w:gridCol w:w="844"/>
        <w:gridCol w:w="63"/>
        <w:gridCol w:w="60"/>
        <w:gridCol w:w="140"/>
        <w:gridCol w:w="800"/>
        <w:gridCol w:w="60"/>
        <w:gridCol w:w="60"/>
        <w:gridCol w:w="140"/>
        <w:gridCol w:w="800"/>
        <w:gridCol w:w="60"/>
        <w:gridCol w:w="60"/>
        <w:gridCol w:w="140"/>
        <w:gridCol w:w="980"/>
        <w:gridCol w:w="7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69"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Payment Due by Period</w:t>
            </w:r>
          </w:p>
        </w:tc>
      </w:tr>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105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Less than </w:t>
              <w:br/>
              <w:t>1 year</w:t>
            </w:r>
          </w:p>
        </w:tc>
        <w:tc>
          <w:tcPr>
            <w:tcW w:w="60" w:type="dxa"/>
            <w:tcBorders/>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1-3 years</w:t>
            </w:r>
          </w:p>
        </w:tc>
        <w:tc>
          <w:tcPr>
            <w:tcW w:w="60" w:type="dxa"/>
            <w:tcBorders/>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3-5 years</w:t>
            </w:r>
          </w:p>
        </w:tc>
        <w:tc>
          <w:tcPr>
            <w:tcW w:w="60" w:type="dxa"/>
            <w:tcBorders/>
            <w:vAlign w:val="center"/>
          </w:tcPr>
          <w:p>
            <w:pPr>
              <w:pStyle w:val="TableContents"/>
              <w:bidi w:val="0"/>
              <w:spacing w:before="0" w:after="283"/>
              <w:jc w:val="left"/>
              <w:rPr/>
            </w:pPr>
            <w:r>
              <w:rPr/>
              <w:t> </w:t>
            </w:r>
          </w:p>
        </w:tc>
        <w:tc>
          <w:tcPr>
            <w:tcW w:w="119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More than</w:t>
              <w:br/>
              <w:t>5 years</w:t>
            </w:r>
          </w:p>
        </w:tc>
      </w:tr>
      <w:tr>
        <w:trPr/>
        <w:tc>
          <w:tcPr>
            <w:tcW w:w="2825" w:type="dxa"/>
            <w:tcBorders/>
            <w:shd w:fill="CCEEFF" w:val="clear"/>
            <w:vAlign w:val="center"/>
          </w:tcPr>
          <w:p>
            <w:pPr>
              <w:pStyle w:val="TableContents"/>
              <w:bidi w:val="0"/>
              <w:spacing w:before="0" w:after="283"/>
              <w:jc w:val="left"/>
              <w:rPr/>
            </w:pPr>
            <w:r>
              <w:rPr/>
              <w:t>Operating lease commitments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3,318,232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726,186</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617,902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378,609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1,595,535</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Related party loans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267,370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shd w:fill="FFFFFF" w:val="clear"/>
            <w:tcMar>
              <w:bottom w:w="28" w:type="dxa"/>
            </w:tcMar>
            <w:vAlign w:val="center"/>
          </w:tcPr>
          <w:p>
            <w:pPr>
              <w:pStyle w:val="TableContents"/>
              <w:bidi w:val="0"/>
              <w:spacing w:before="0" w:after="283"/>
              <w:jc w:val="right"/>
              <w:rPr/>
            </w:pPr>
            <w:r>
              <w:rPr/>
              <w:t>267,370</w:t>
            </w:r>
          </w:p>
        </w:tc>
        <w:tc>
          <w:tcPr>
            <w:tcW w:w="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3,586,602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993,556</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617,902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378,609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1,595,535</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those shown above, we did not have any significant capital and other commitments as of June 30, 2026.</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Commitments and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unaudited condensed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Trend Information</w:t>
      </w:r>
    </w:p>
    <w:p>
      <w:pPr>
        <w:pStyle w:val="TextBody"/>
        <w:bidi w:val="0"/>
        <w:jc w:val="left"/>
        <w:rPr>
          <w:caps w:val="false"/>
          <w:smallCaps w:val="false"/>
          <w:color w:val="0F4761"/>
        </w:rPr>
      </w:pPr>
      <w:r>
        <w:rPr>
          <w:caps w:val="false"/>
          <w:smallCaps w:val="false"/>
          <w:color w:val="0F4761"/>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herein, we are not aware of any trends, uncertainties, demands, commitments or events as of June 30, 2026 that are reasonably likely to have a material and adverse effect on our revenues, income, profitability, liquidity or capital resources, or that would cause the disclosed financial information to be not necessarily indicative of future results of operations or financial conditions.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Critical Accounting Policies and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unaudited condensed consolidated financial statements.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unaudited condensed financial statements in conformity with U.S. GAAP requires management to make estimates and assumptions that affect the reported amounts of assets and liabilities and the disclosure of contingent assets and liabilities at the date of the unaudited condensed consolidated financial statements, the reported amounts of revenue and expenses during the reporting period, and the related disclosures in the unaudited condensed consolidated financial statements and accompanying footnotes. Out of our significant accounting policies, which are described in “Note 2—Summary of Significant Accounting Policies” of our unaudited condensed consolidated financial statements for the reporting period, included elsewhere in this registration statement, certain accounting policies are deemed “critical,” as they require management’s highest degree of judgment, estimates and assumptions, including (i) Accounts receivable, net, (ii) Inventories, net, (iii) Property, plant and equipment, net, (iv) Long-term investment, (v) Revenue recognition and (vi) Income taxes. While we believe our judgments, estimates and assumptions are reasonable, we are based on information presently available and actual results may differ significantly from those estimates under different assumptions and conditions. We believe that the following critical accounting estimates involve the most significant judgments used in the preparation of our unaudited condensed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we are emerging growth company as defined by JOBS Act. The JOBS Act provides that an emerging growth company can take advantage of extended transition periods for complying with new or revised accounting standards. This allows us to delay adoption of certain accounting standards until those standards would otherwise apply to private companies. We elected to take advantage of the extended transition periods.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condensed consolidated financial statements in conformity with US GAAP requires management of the Company to make certain estimates and assumptions that affect the reported amounts of assets and liabilities as of the date of the unaudited condensed consolidated financial statements and the reported amounts of revenues and expenses during the reporting period. We based on the estimates on historical experience and various other factors believed to be reasonable under the circumstances, the results of which form the basis for making judgements about the carrying value of assets and liabilities that are not readily apparent from other 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accounting estimates reflected in our unaudited condensed consolidated financial statements include, but not limited to revenue recognition, allowance for credit losses, inventory write-down, the useful lives and impairment of long-lived assets and valuation allowance for deferred tax assets. Changes in facts and circumstances may result in revised estimates. Actual results could differ from those estimates.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2023, we adopted FASB ASC Topic 326 -” Financial Instruments - Credit losses (“ASC Topic 326”) which replaces the incurred loss methodology with the current expected credit loss (“CECL”) methodology. We adopted ASC Topic 326 using the modified retrospective approach for all in-scope assets. The adoption of ASC Topic 326 on our unaudited condensed consolidated financial statements was immaterial.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is stated net of provision of credit losses. We have developed a current expected credit loss (“CECL”) model based on historical experience, the age of the accounts receivable balances, credit quality of its customers, current economic conditions, reasonable and supportable forecasts of future economic conditions, and other factors that may affect its ability to collect from customers. We consider historical collection rates, current financial status, macroeconomic factors, and other industry-specific factors when evaluating for current expected credit losses.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98.84% of accounts receivable was within 180 days, 0.13% accounts receivable was between 180 days to 360 days, the remaining 1.03% of accounts receivable was over one year.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100% of accounts receivable – related parties were within 180 days.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realizable value. Cost is principally determined on the weighted average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perform an analysis of inventory to determine obsolete or slow-moving inventory and determine if its cost exceeds the estimated market value. Write off of potentially obsolete or slow-moving inventory are recorded based on management’s analysis of inventory levels.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plant and equipment,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is stated at cost including the cost of improvements. Maintenance and repairs are charged to expense as incurred. Depreciation and amortization are provided on the straight-line method based on the estimated useful lives and residual value of the assets as follows:</w:t>
      </w:r>
    </w:p>
    <w:p>
      <w:pPr>
        <w:pStyle w:val="TextBody"/>
        <w:bidi w:val="0"/>
        <w:jc w:val="both"/>
        <w:rPr>
          <w:caps w:val="false"/>
          <w:smallCaps w:val="false"/>
        </w:rPr>
      </w:pPr>
      <w:r>
        <w:rPr>
          <w:caps w:val="false"/>
          <w:smallCaps w:val="false"/>
        </w:rPr>
        <w:t> </w:t>
      </w:r>
    </w:p>
    <w:tbl>
      <w:tblPr>
        <w:tblW w:w="5640" w:type="dxa"/>
        <w:jc w:val="left"/>
        <w:tblInd w:w="-10" w:type="dxa"/>
        <w:tblLayout w:type="fixed"/>
        <w:tblCellMar>
          <w:top w:w="28" w:type="dxa"/>
          <w:left w:w="108" w:type="dxa"/>
          <w:bottom w:w="28" w:type="dxa"/>
          <w:right w:w="108" w:type="dxa"/>
        </w:tblCellMar>
      </w:tblPr>
      <w:tblGrid>
        <w:gridCol w:w="2300"/>
        <w:gridCol w:w="1205"/>
        <w:gridCol w:w="2135"/>
      </w:tblGrid>
      <w:tr>
        <w:trPr/>
        <w:tc>
          <w:tcPr>
            <w:tcW w:w="23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Category</w:t>
            </w:r>
          </w:p>
        </w:tc>
        <w:tc>
          <w:tcPr>
            <w:tcW w:w="12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Useful lives</w:t>
            </w:r>
          </w:p>
        </w:tc>
        <w:tc>
          <w:tcPr>
            <w:tcW w:w="21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Estimated residual value</w:t>
            </w:r>
          </w:p>
        </w:tc>
      </w:tr>
      <w:tr>
        <w:trPr/>
        <w:tc>
          <w:tcPr>
            <w:tcW w:w="230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sz w:val="20"/>
              </w:rPr>
            </w:pPr>
            <w:r>
              <w:rPr>
                <w:sz w:val="20"/>
              </w:rPr>
              <w:t>Buildings</w:t>
            </w:r>
          </w:p>
        </w:tc>
        <w:tc>
          <w:tcPr>
            <w:tcW w:w="120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sz w:val="20"/>
              </w:rPr>
            </w:pPr>
            <w:r>
              <w:rPr>
                <w:sz w:val="20"/>
              </w:rPr>
              <w:t>20 years</w:t>
            </w:r>
          </w:p>
        </w:tc>
        <w:tc>
          <w:tcPr>
            <w:tcW w:w="213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sz w:val="20"/>
              </w:rPr>
            </w:pPr>
            <w:r>
              <w:rPr>
                <w:sz w:val="20"/>
              </w:rPr>
              <w:t>5%</w:t>
            </w:r>
          </w:p>
        </w:tc>
      </w:tr>
      <w:tr>
        <w:trPr/>
        <w:tc>
          <w:tcPr>
            <w:tcW w:w="230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sz w:val="20"/>
              </w:rPr>
            </w:pPr>
            <w:r>
              <w:rPr>
                <w:sz w:val="20"/>
              </w:rPr>
              <w:t>Machinery and equipment</w:t>
            </w:r>
          </w:p>
        </w:tc>
        <w:tc>
          <w:tcPr>
            <w:tcW w:w="120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10 years</w:t>
            </w:r>
          </w:p>
        </w:tc>
        <w:tc>
          <w:tcPr>
            <w:tcW w:w="213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10%</w:t>
            </w:r>
          </w:p>
        </w:tc>
      </w:tr>
      <w:tr>
        <w:trPr/>
        <w:tc>
          <w:tcPr>
            <w:tcW w:w="230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sz w:val="20"/>
              </w:rPr>
            </w:pPr>
            <w:r>
              <w:rPr>
                <w:sz w:val="20"/>
              </w:rPr>
              <w:t>Motor Vehicles</w:t>
            </w:r>
          </w:p>
        </w:tc>
        <w:tc>
          <w:tcPr>
            <w:tcW w:w="120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sz w:val="20"/>
              </w:rPr>
            </w:pPr>
            <w:r>
              <w:rPr>
                <w:sz w:val="20"/>
              </w:rPr>
              <w:t>5 years</w:t>
            </w:r>
          </w:p>
        </w:tc>
        <w:tc>
          <w:tcPr>
            <w:tcW w:w="213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sz w:val="20"/>
              </w:rPr>
            </w:pPr>
            <w:r>
              <w:rPr>
                <w:sz w:val="20"/>
              </w:rPr>
              <w:t>10%</w:t>
            </w:r>
          </w:p>
        </w:tc>
      </w:tr>
      <w:tr>
        <w:trPr/>
        <w:tc>
          <w:tcPr>
            <w:tcW w:w="230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sz w:val="20"/>
              </w:rPr>
            </w:pPr>
            <w:r>
              <w:rPr>
                <w:sz w:val="20"/>
              </w:rPr>
              <w:t>Furniture and fixtures</w:t>
            </w:r>
          </w:p>
        </w:tc>
        <w:tc>
          <w:tcPr>
            <w:tcW w:w="120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5 years</w:t>
            </w:r>
          </w:p>
        </w:tc>
        <w:tc>
          <w:tcPr>
            <w:tcW w:w="213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5%</w:t>
            </w:r>
          </w:p>
        </w:tc>
      </w:tr>
      <w:tr>
        <w:trPr/>
        <w:tc>
          <w:tcPr>
            <w:tcW w:w="230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sz w:val="20"/>
              </w:rPr>
            </w:pPr>
            <w:r>
              <w:rPr>
                <w:sz w:val="20"/>
              </w:rPr>
              <w:t>Electronic office equipment</w:t>
            </w:r>
          </w:p>
        </w:tc>
        <w:tc>
          <w:tcPr>
            <w:tcW w:w="120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sz w:val="20"/>
              </w:rPr>
            </w:pPr>
            <w:r>
              <w:rPr>
                <w:sz w:val="20"/>
              </w:rPr>
              <w:t>3 years</w:t>
            </w:r>
          </w:p>
        </w:tc>
        <w:tc>
          <w:tcPr>
            <w:tcW w:w="213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sz w:val="20"/>
              </w:rPr>
            </w:pPr>
            <w:r>
              <w:rPr>
                <w:sz w:val="20"/>
              </w:rPr>
              <w:t>5%</w:t>
            </w:r>
          </w:p>
        </w:tc>
      </w:tr>
      <w:tr>
        <w:trPr/>
        <w:tc>
          <w:tcPr>
            <w:tcW w:w="230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sz w:val="20"/>
              </w:rPr>
            </w:pPr>
            <w:r>
              <w:rPr>
                <w:sz w:val="20"/>
              </w:rPr>
              <w:t>Leasehold improvements</w:t>
            </w:r>
          </w:p>
        </w:tc>
        <w:tc>
          <w:tcPr>
            <w:tcW w:w="120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1.5 to 10 years</w:t>
            </w:r>
          </w:p>
        </w:tc>
        <w:tc>
          <w:tcPr>
            <w:tcW w:w="213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0%</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improvements are capitalized and expenditures for maintenance and repairs as incurred. Construction in progress represents property, plant and equipment under construction or being installed. Costs include original cost, installation, construction and other direct costs. Interest expenses directly related to construction in progress would be capitalized. Construction in progress is transferred to the appropriate fixed asset account and depreciation commences when the asset has been substantially completed and placed in service.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investments for which we have the ability to exercise significant influence are accounted for under the equity method. Under the equity method, we initially record its investment at cost. The difference between the cost of the equity investment and the amount of the underlying equity in the net assets of the equity investee is recognized as equity method goodwill or as an intangible asset as appropriate, which is included in the equity method investment on the combined balance sheets. We subsequently adjust the carrying amount of the investment to recognize our proportionate share of each equity investee’s net income or loss into combined statements of operations and comprehensive income after the date of acquisition.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an assessment of whether an investment is impaired based on performance and financial position of the investee as well as other evidence of market value at each reporting date. Such assessment includes, but is not limited to, reviewing the investee’s cash position, recent financing, as well as the financial and business performance. We recognize an impairment loss equal to the difference between the carrying value and fair value in the combined statements of operations and comprehensive income if any.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Product sales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with the adoption of Accounting Standards Update (“ASU”) 2014-09, “Revenue from Contracts with Customers (Topic 606),” and the associated ASUs (collectively, “Topic 606”) on January 1, 2020, we recognize revenue when our customer obtains control of promised goods in an amount that reflects the consideration which we expect to receive in exchange for those goods. To determine revenue recognition for the arrangements that our determines are within the scope of Topic 606, we perform the following five steps: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identify the contract(s) with a customer,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identify the performance obligations in the contract,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determine the transaction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allocate the transaction price to the performance obligations in the contract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recognize revenue when (or as) the entity satisfies a performance obligation.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from contracts with customers is derived from product revenue principally from the sales of metal stamping and mechanical original equipment manufacturer (“OEM”) and electric OEM products directly to other consumer electronics product manufacturers. We sell goods to the customer under sales contracts or by purchase orders. We have determined there to be one performance obligation for each of the sales contracts and purchase orders. The performance obligations are considered to be met and revenue is recognized at a point in time when the customer obtains control of the goods. We have three major goods delivery channels, included:</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20"/>
              </w:rPr>
            </w:pPr>
            <w:r>
              <w:rPr>
                <w:sz w:val="20"/>
              </w:rPr>
              <w:t>1)</w:t>
            </w:r>
          </w:p>
        </w:tc>
        <w:tc>
          <w:tcPr>
            <w:tcW w:w="9978" w:type="dxa"/>
            <w:tcBorders/>
            <w:vAlign w:val="center"/>
          </w:tcPr>
          <w:p>
            <w:pPr>
              <w:pStyle w:val="TableContents"/>
              <w:bidi w:val="0"/>
              <w:spacing w:before="0" w:after="283"/>
              <w:jc w:val="both"/>
              <w:rPr>
                <w:sz w:val="20"/>
              </w:rPr>
            </w:pPr>
            <w:r>
              <w:rPr>
                <w:sz w:val="20"/>
              </w:rPr>
              <w:t xml:space="preserve">Delivering goods to customers’ predetermined location, we have satisfied the contracts’ performance obligations when the goods have been delivered and relevant shipping documents have been collected by us; </w:t>
            </w:r>
          </w:p>
        </w:tc>
      </w:tr>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20"/>
              </w:rPr>
            </w:pPr>
            <w:r>
              <w:rPr>
                <w:sz w:val="20"/>
              </w:rPr>
              <w:t>2)</w:t>
            </w:r>
          </w:p>
        </w:tc>
        <w:tc>
          <w:tcPr>
            <w:tcW w:w="9978" w:type="dxa"/>
            <w:tcBorders/>
            <w:vAlign w:val="center"/>
          </w:tcPr>
          <w:p>
            <w:pPr>
              <w:pStyle w:val="TableContents"/>
              <w:bidi w:val="0"/>
              <w:spacing w:before="0" w:after="283"/>
              <w:jc w:val="both"/>
              <w:rPr>
                <w:sz w:val="20"/>
              </w:rPr>
            </w:pPr>
            <w:r>
              <w:rPr>
                <w:sz w:val="20"/>
              </w:rPr>
              <w:t>Picking up goods by customers in our warehouse, we have satisfied the contracts’ performance obligations when the goods have been picked up and the acceptance document has been signed by the customers; and</w:t>
            </w:r>
          </w:p>
        </w:tc>
      </w:tr>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20"/>
              </w:rPr>
            </w:pPr>
            <w:r>
              <w:rPr>
                <w:sz w:val="20"/>
              </w:rPr>
              <w:t>3)</w:t>
            </w:r>
          </w:p>
        </w:tc>
        <w:tc>
          <w:tcPr>
            <w:tcW w:w="9978" w:type="dxa"/>
            <w:tcBorders/>
            <w:vAlign w:val="center"/>
          </w:tcPr>
          <w:p>
            <w:pPr>
              <w:pStyle w:val="TableContents"/>
              <w:bidi w:val="0"/>
              <w:spacing w:before="0" w:after="283"/>
              <w:jc w:val="both"/>
              <w:rPr>
                <w:sz w:val="20"/>
              </w:rPr>
            </w:pPr>
            <w:r>
              <w:rPr>
                <w:sz w:val="20"/>
              </w:rPr>
              <w:t xml:space="preserve">Picking up goods by customers in the Vendor Managed Inventory (“VMI”) warehouse, we satisfied the contracts’ performance obligations when the goods have been picked up and we confirmed the amounts used by customers with clean reply received.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products picked up by customers in the VMI warehouse, we are primarily responsible for the contract as we have the supplier discretion when executing orders and we are the only party that have a contractual relationship with customers. We establish and obtain substantially all of the benefits from transactions, i.e. considerations paid by customers. Therefore, we conclude that we obtain control the of the products pursuant to ASC 606-10-55-37A(a). We consider ourselves to be the principal in the transactions on the basis that we are primary responsible to fulfill the promise and have the price discretion, pursuant to ASC 606-10-55-39.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in the form of a fixed price which is agreed with the customer at contract inception. The transaction price is recorded net of sales return, surcharges and value-added tax of gross sales.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payment terms are all within 180 days and its sales arrangements do not have any material financing components.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asset is recorded when we have transferred products or services to the customer before payment is received or is due, and our right to consideration is conditional on future performance in the contract. We did not recognize any contract asset as of December 31, 2025 and June 30, 2026. The timing between the recognition of revenue and receipt of payment is not significant. A contract liability exists when we have received consideration but has not transferred the related goods or services to the customer. The Company recognized nil and US$150,426 contract liabilities as of December 31, 2025 and June 30, 2026, respectively, which were included in accrued expenses and other current liabilities on the consolidated balance sheets.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 Rights &amp; Warranty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provide warranty period of one year and customers are required to perform product quality check upon acceptance of delivery. The warranty covers only production defects and offers to replace the defective products with new products during warranty period. Customers do not have the option to purchase the warranty separately, nor the warrant provides a service in addition to assurance. Accordingly, warranty costs are treated as a cost of fulfillment subject to accrual, rather than a performance obligation. As of December 31, 2025 and June 30, 2026, the Company accrue refund liability of US$182,323 and US$187,912 related to the return rights for product quality issues on the consolidated balance sheets.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vs agent accounting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all product revenue on a gross basis. To determine whether we are an agent or principal in the sales of products, we consider the following indicators: we are primarily responsible for fulfilling the promise to provide the specified goods or services, is subject to inventory risks before the specified goods have been transferred to a customer or after transfer of control to the customers and has discretion in establishing the price of the specified goods.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Deferred tax assets and liabilities are determined based on the temporary difference between the financial reporting and tax bases of assets and liabilities, and net operating loss and tax credit carryforwards using enacted tax rates that will be in effect for the period in which the differences are expected to reverse. We record a valuation allowance against the amount of deferred tax assets that it determines is not more likely than not of being realized. The effect on deferred taxes of a change in tax rates is recognized in income in the period that includes the enactment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related to unrecognized tax benefits and penalties, if any, within income tax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uncertain tax positions for the six months ended June 30, 2025 and 2026.</w:t>
      </w:r>
    </w:p>
    <w:p>
      <w:pPr>
        <w:pStyle w:val="TextBody"/>
        <w:bidi w:val="0"/>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200" w:after="60"/>
        <w:jc w:val="left"/>
        <w:rPr>
          <w:bdr w:val="single" w:sz="16" w:space="1" w:color="000000"/>
        </w:rPr>
      </w:pPr>
      <w:bookmarkStart w:id="991" w:name="e7952_ex99-3.htm"/>
      <w:bookmarkStart w:id="992" w:name="kse7952_ex993"/>
      <w:bookmarkEnd w:id="991"/>
      <w:bookmarkEnd w:id="992"/>
      <w:r>
        <w:rPr>
          <w:bdr w:val="single" w:sz="16" w:space="1" w:color="000000"/>
        </w:rPr>
        <w:t> </w:t>
      </w:r>
      <w:r>
        <w:br w:type="page"/>
      </w:r>
    </w:p>
    <w:p>
      <w:pPr>
        <w:pStyle w:val="TextBody"/>
        <w:bidi w:val="0"/>
        <w:spacing w:before="0" w:after="283"/>
        <w:jc w:val="left"/>
        <w:rPr/>
      </w:pPr>
      <w:r>
        <w:rPr/>
        <w:t> </w:t>
      </w:r>
    </w:p>
    <w:p>
      <w:pPr>
        <w:pStyle w:val="TextBody"/>
        <w:bidi w:val="0"/>
        <w:jc w:val="right"/>
        <w:rPr>
          <w:b/>
        </w:rPr>
      </w:pPr>
      <w:r>
        <w:rPr>
          <w:b/>
        </w:rPr>
        <w:t>EXHIBIT 99.3</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 Reports Financial Results for First Half of Fiscal Year 2026</w:t>
      </w:r>
    </w:p>
    <w:p>
      <w:pPr>
        <w:pStyle w:val="TextBody"/>
        <w:bidi w:val="0"/>
        <w:jc w:val="center"/>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170"/>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Revenues rose 36.6% year over year, mainly driven by higher average selling prices</w:t>
            </w:r>
          </w:p>
        </w:tc>
      </w:tr>
    </w:tbl>
    <w:p>
      <w:pPr>
        <w:pStyle w:val="TextBody"/>
        <w:bidi w:val="0"/>
        <w:ind w:left="440" w:right="0" w:hanging="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AI infrastructure and liquid cooling continue to gain strategic importance, with large-volume customer orders secured subsequent to the first half of 2026</w:t>
            </w:r>
          </w:p>
        </w:tc>
      </w:tr>
    </w:tbl>
    <w:p>
      <w:pPr>
        <w:pStyle w:val="TextBody"/>
        <w:bidi w:val="0"/>
        <w:ind w:left="440" w:right="0" w:hanging="44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China, September 21, 2026 (GLOBE NEWSWIRE) -- ZJK Industrial Co., Ltd. (NASDAQ: ZJK) (“ZJK” or the “Company”), a high-tech precision parts and hardware manufacturer serving artificial intelligence (AI) infrastructure, consumer electronics, electric vehicles, aerospace, and other smart technologies, today announced its unaudited financial results for the six months ended June 30,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of Fiscal Year 2026 Financial Highlights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Revenues</w:t>
            </w:r>
            <w:r>
              <w:rPr>
                <w:rFonts w:ascii="Times New Roman;Times;Serif" w:hAnsi="Times New Roman;Times;Serif"/>
                <w:sz w:val="20"/>
              </w:rPr>
              <w:t> were US$33.74 million for the first half of 2026, an increase of 36.60% from US$24.70 million for the same period of 2025.</w:t>
            </w:r>
          </w:p>
        </w:tc>
      </w:tr>
    </w:tbl>
    <w:p>
      <w:pPr>
        <w:pStyle w:val="TextBody"/>
        <w:shd w:fill="FFFFFF" w:val="clear"/>
        <w:bidi w:val="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Gross profit</w:t>
            </w:r>
            <w:r>
              <w:rPr>
                <w:rFonts w:ascii="Times New Roman;Times;Serif" w:hAnsi="Times New Roman;Times;Serif"/>
                <w:sz w:val="20"/>
              </w:rPr>
              <w:t>  was US$14.29 million for the first half of 2026, an increase of 16.01% from US$12.32 million for the same period of 2025.</w:t>
            </w:r>
          </w:p>
        </w:tc>
      </w:tr>
    </w:tbl>
    <w:p>
      <w:pPr>
        <w:pStyle w:val="TextBody"/>
        <w:shd w:fill="FFFFFF" w:val="clear"/>
        <w:bidi w:val="0"/>
        <w:ind w:left="720" w:right="0" w:hanging="360"/>
        <w:jc w:val="left"/>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Net income</w:t>
            </w:r>
            <w:r>
              <w:rPr>
                <w:rFonts w:ascii="Times New Roman;Times;Serif" w:hAnsi="Times New Roman;Times;Serif"/>
                <w:sz w:val="20"/>
              </w:rPr>
              <w:t> was US$5.24 million for the first half of 2026, compared with US$5.84 million for the same period of 2025.</w:t>
            </w:r>
          </w:p>
        </w:tc>
      </w:tr>
    </w:tbl>
    <w:p>
      <w:pPr>
        <w:pStyle w:val="TextBody"/>
        <w:shd w:fill="FFFFFF" w:val="clear"/>
        <w:bidi w:val="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Basic and diluted earnings per share </w:t>
            </w:r>
            <w:r>
              <w:rPr>
                <w:rFonts w:ascii="Times New Roman;Times;Serif" w:hAnsi="Times New Roman;Times;Serif"/>
                <w:sz w:val="20"/>
              </w:rPr>
              <w:t>were US$0.08 for the first half of 2026, compared with US$0.10 for the same period of 2025.</w:t>
            </w:r>
          </w:p>
        </w:tc>
      </w:tr>
    </w:tbl>
    <w:p>
      <w:pPr>
        <w:pStyle w:val="TextBody"/>
        <w:shd w:fill="FFFFFF" w:val="clear"/>
        <w:bidi w:val="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Net cash provided by operating activities</w:t>
            </w:r>
            <w:r>
              <w:rPr>
                <w:rFonts w:ascii="Times New Roman;Times;Serif" w:hAnsi="Times New Roman;Times;Serif"/>
                <w:sz w:val="20"/>
              </w:rPr>
              <w:t xml:space="preserve"> increased 28.75% year over year to US$3.19 million for the first half of 2026, while net cash provided by investing activities and financing activities increased 254.38% and 78.85%, respectively.</w:t>
            </w:r>
          </w:p>
        </w:tc>
      </w:tr>
    </w:tbl>
    <w:p>
      <w:pPr>
        <w:pStyle w:val="TextBody"/>
        <w:shd w:fill="FFFFFF" w:val="clear"/>
        <w:bidi w:val="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Cash and cash equivalents, restricted cash, and short-term investments </w:t>
            </w:r>
            <w:r>
              <w:rPr>
                <w:rFonts w:ascii="Times New Roman;Times;Serif" w:hAnsi="Times New Roman;Times;Serif"/>
                <w:sz w:val="20"/>
              </w:rPr>
              <w:t>amounted to US$23.16 million as of June 30, 2026, an increase of 24.37% from US$18.62 million as of December 31, 2025.</w:t>
            </w:r>
          </w:p>
        </w:tc>
      </w:tr>
    </w:tbl>
    <w:p>
      <w:pPr>
        <w:pStyle w:val="TextBody"/>
        <w:shd w:fill="FFFFFF" w:val="clear"/>
        <w:bidi w:val="0"/>
        <w:ind w:left="720" w:right="0" w:hanging="36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Ning Ding, chairman of the board of directors, chief executive officer and chief financial officer, commented, “We are pleased to report another period of strong revenue growth in the first half of 2026, reflecting our deeper participation in customer programs and the ongoing shift of our product portfolio toward more sophisticated, higher-value products with increased average selling prices. Notably, our revenues grew 36.60% year-over-year to US$33.74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newer and increasingly complex products move into larger-scale production, we have made the necessary investments in materials, labor, manufacturing processes and production capacity to support their ramp-up and meet increasingly stringent customer requirements. We will continue to advance automation and process optimization to enhance manufacturing efficiency, while investing in research and development to strengthen our technical capabilities and support the continued growth of our high-value precision component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demand side, AI infrastructure and liquid cooling are becoming increasingly important growth drivers for ZJK, as our strengths in precision manufacturing, product reliability and production consistency enable us to address the increasingly stringent requirements arising from the greater computing density and power consumption of AI systems. Subsequent to the first half of 2026, we secured large-volume purchase orders for AI infrastructure components from several major customers and have commenced deliveries, further demonstrating growing customer recognition of our capabilities across the product development and manufacturing lifecycle, from early-stage design collaboration and validation to engineering, mass production and quality control. Supported by ongoing deliveries under these orders and continued demand from AI and other advanced technology applications, we anticipate that strong growth momentum will continue through the second half of 2026.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continue to execute our global expansion strategy, including the development of our international customer base. We are investing in sales and marketing across North America, Singapore and Taiwan to broaden our market reach beyond mainland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rapid growth of AI computing infrastructure and adoption of liquid cooling, together with increasing precision requirements across other advanced smart technologies, will create substantial long-term opportunities for ZJK. We will continue to focus on innovation-driven development, operational efficiency, customer diversification and the expansion of our global footprint to enhance our capabilities to capture these opportunities, drive sustainable revenue and profit growth, and deepen ZJK’s strategic role in the global high-precision components supply chain.”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of Fiscal Year 2026 Financial Results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US$33.74 million for the first half of 2026, an increase of 36.60% from US$24.70 million for the same period of 2025. This increase was mainly due to an increase of 35.29% in the average sales unit price for the six months ended June 30, 2026 compared to the same period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US$19.45 million for the first half of 2026, an increase of 57.08% from US$12.38 million for the same period of 2025. The increase was driven by higher material procurement prices coupled with increased material consumption from the expanded production scale of new products, and increased labor costs as more personnel were required and more complex manufacturing procedures were involved in the production of new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Profit Margin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US$14.29 million for the first half of 2026, an increase of 16.01% from US$12.32 million for the same period of 2025. This increase was mainly due to the increased average sales unit price of ZJK’s hardware products, partially offset by the decreased sales volume.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margin was 42.35% for the first half of 2026, compared with 49.87% for the same period of 2025, mainly attributable to the increase in average unit cost of products. Despite an increase in average sales unit price of products, to remain competitive, such price growth was insufficient to fully offset the incremental manufacturing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Total Operating Expenses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US$8.64 million for the first half of 2026, compared with US$6.46 million for the same period of 2025.</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and administrative expenses were US$4.11 million for the first half of 2026, an increase of 52.86% from US$2.69 million for the same period of 2025. This increase was primarily attributable to (i) an increase of US$0.63 million in share-based compensation expenses, (ii) an increase of US$0.16 million in salaries and benefits for administrative personnel due to an increase of employee headcounts resulting from ZJK’s business growth, (iii) an increase of US$0.12 million in depreciation and amortization expenses, and (iv) an increase of US$0.40 million in other miscellaneous expenses due to business expansion.</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Selling and marketing expenses were US$4.24 million for the first half of 2026, an increase of 19.33% from US$3.56 million for the same period of 2025. This increase was primarily due to (i) an increase of US$0.31 million in sales commissions resulting from business expansion into markets such as North America, Singapore, and Taiwan, China, (ii) an increase of US$0.10 million in salaries and benefits for sales and marketing personnel due to higher headcounts to support ZJK’s business expansion, and (iii) an increase of US$0.18 million in freight costs for sale of products, reflecting expanded overseas shipping demands.</w:t>
            </w:r>
          </w:p>
        </w:tc>
      </w:tr>
    </w:tbl>
    <w:p>
      <w:pPr>
        <w:pStyle w:val="TextBody"/>
        <w:bidi w:val="0"/>
        <w:ind w:left="720" w:right="0" w:hanging="3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expenses were US$0.28 million for the first half of 2026, an increase of 32.28% from US$0.21 million for the same period of 2025. This increase was primarily attributable to salaries and benefits for an increased number of research and development personnel resulting from business growth.</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from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 was US$5.66 million for the first half of 2026, compared with US$5.86 million for the same period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was US$1.37 million for the first half of 2026, compared with US$1.91 million for the same period of 2025, primarily due to a decrease in foreign exchange gains.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was US$5.24 million for the first half of 2026, compared with US$5.84 million for the same period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Earnings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earnings per share were both US$0.08 for the first half of 2026, compared with US$0.10 for the same period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Condition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restricted cash and short-term investments of US$23.16 million, an increase of 24.37% from US$18.62 million as of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ZJK Industrial Co., Ltd.</w:t>
      </w:r>
      <w:r>
        <w:rPr>
          <w:rFonts w:ascii="Times New Roman;Times;Serif" w:hAnsi="Times New Roman;Times;Serif"/>
          <w:b w:val="false"/>
          <w:i w:val="false"/>
          <w:caps w:val="false"/>
          <w:smallCaps w:val="false"/>
          <w:sz w:val="20"/>
        </w:rPr>
        <w:br/>
        <w:t>ZJK Industrial Co., Ltd. is a high-tech precision parts and hardware manufacturer serving artificial intelligence (AI) infrastructure, consumer electronics, electric vehicles, aerospace, and other smart technologies. With over 15 years in the precision metal parts manufacturing industry, the Company maintains a skilled professional team, a series of highly automated and precision manufacturing equipment, a stable and diversified customer base, and comprehensive quality management systems. ZJK mainly offers standard screws, precision screws and nuts, high-strength bolts and nuts, turning parts, stamping parts and Computer Numerical Control (CNC) machining parts, CNC milling parts, high precision structural components, Surface Mounting Technology (SMT) for miniature parts packaging, and technology service for research and development from a professional engineering team. For more information, please visit the Company’s website at https://ir.zjk-industrial.com/.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br/>
        <w:t>Certain statements in this announcement are forward-looking statements. These forward-looking statements involve known and unknown risks and uncertainties (including, but not limited to, uncertainties of whether contract value of our purchase orders will be fully realized)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“may,” “will,” “expect,” “anticipate,” “aim,” “estimate,” “intend,” “plan,” “believe,” “likely to,” “propose” or other similar expressions in this announcement. The Company undertakes no obligation to update or revise publicly any forward-looking statements to reflect subsequent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filings with the U.S. Securities and Exchange Commission.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more information, please contact:</w:t>
      </w:r>
      <w:r>
        <w:rPr>
          <w:rFonts w:ascii="Times New Roman;Times;Serif" w:hAnsi="Times New Roman;Times;Serif"/>
          <w:b w:val="false"/>
          <w:i w:val="false"/>
          <w:caps w:val="false"/>
          <w:smallCaps w:val="false"/>
          <w:sz w:val="20"/>
        </w:rPr>
        <w:br/>
        <w:t>ZJK Industrial Co., Ltd.</w:t>
        <w:br/>
        <w:t>Phone: +86-755-28341175</w:t>
        <w:br/>
        <w:t>Email: ir@zjk-industrial.com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Blueshirt Group Asia</w:t>
        <w:br/>
        <w:t>Feifei Shen</w:t>
        <w:br/>
        <w:t>Phone: +86-134-66566136</w:t>
        <w:br/>
        <w:t>Email: feifei@blueshirtgroup.co</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for numbers of shares data)</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36"/>
        <w:gridCol w:w="60"/>
        <w:gridCol w:w="72"/>
        <w:gridCol w:w="1145"/>
        <w:gridCol w:w="96"/>
        <w:gridCol w:w="60"/>
        <w:gridCol w:w="62"/>
        <w:gridCol w:w="992"/>
        <w:gridCol w:w="82"/>
      </w:tblGrid>
      <w:tr>
        <w:trPr/>
        <w:tc>
          <w:tcPr>
            <w:tcW w:w="7636"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509"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As of</w:t>
            </w:r>
          </w:p>
        </w:tc>
      </w:tr>
      <w:tr>
        <w:trPr/>
        <w:tc>
          <w:tcPr>
            <w:tcW w:w="76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3"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60" w:type="dxa"/>
            <w:tcBorders/>
            <w:vAlign w:val="center"/>
          </w:tcPr>
          <w:p>
            <w:pPr>
              <w:pStyle w:val="TableContents"/>
              <w:bidi w:val="0"/>
              <w:spacing w:before="0" w:after="283"/>
              <w:jc w:val="left"/>
              <w:rPr/>
            </w:pPr>
            <w:r>
              <w:rPr/>
              <w:t> </w:t>
            </w:r>
          </w:p>
        </w:tc>
        <w:tc>
          <w:tcPr>
            <w:tcW w:w="1136"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June 30, 2026</w:t>
            </w:r>
          </w:p>
        </w:tc>
      </w:tr>
      <w:tr>
        <w:trPr/>
        <w:tc>
          <w:tcPr>
            <w:tcW w:w="76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6" w:type="dxa"/>
            <w:gridSpan w:val="3"/>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(Unaudited)</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14,350,959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16,543,610</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2,037,041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4,484,487</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investments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2,234,078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2,132,706</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15,974,676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15,644,701</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receivable-due from a related party</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11,227,799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8,498,381</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 net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12,143,316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14,245,898</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964,194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4,379,431</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receivables-due from related parties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598,467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3,713</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59,530,530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65,932,927</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Non-current assets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12,271,875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13,098,045</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97,433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144,361</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3,574,775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3,309,694</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investment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3,706,080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1,786,703</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assets, net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95,926</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347,569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630,674</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19,997,732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19,065,403</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79,528,262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84,998,330</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18,233,194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15,369,397</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3,803,926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3,781,226</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payable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3,431,262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3,906,101</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3,583,457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3,650,004</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payables-due to related parties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2,322,224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2,659,954</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726,152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726,186</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32,100,215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30,092,868</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2,876,209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2,592,046</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957,610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658,971</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non-current liabilities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3,833,819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3,251,017</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35,934,034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33,343,885</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Commitments and contingencies (Note 15)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 ($0.000016666667 par value, 3,000,000,000 and nil shares authorized, 63,822,249 and nil shares issued and outstanding 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shares ($0.000016666667 par value, nil and 2,991,000,000 shares authorized, nil and 55,322,249 shares issued and outstanding as of December 31 and June 30, 2026, respectively**)</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921</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 ($0.000016666667 par value, nil and 9,000,000 shares authorized, nil and 9,000,000 shares issued and outstanding as of December 31 and June 30, 2026 , respectively**)</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8,977,814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10,372,982</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surplus reserves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2,662,115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2,662,115</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Retained earnings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32,132,905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37,378,247</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other comprehensive (loss)/income</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(304,868</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1,004,477</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ZJK Industrial Co., Ltd. shareholders’ equity</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43,469,029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51,418,892</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125,199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235,553</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43,594,228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51,654,445</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7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76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79,528,262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84,998,330</w:t>
            </w:r>
          </w:p>
        </w:tc>
        <w:tc>
          <w:tcPr>
            <w:tcW w:w="82"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ind w:left="142"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shares and per share information are presented on a retroactive basis to reflect the reorganization completed on March 28, 2023, the two share splits that occurred on June 19, 2023 and June 6, 2024, respectively.</w:t>
      </w:r>
    </w:p>
    <w:p>
      <w:pPr>
        <w:pStyle w:val="TextBody"/>
        <w:bidi w:val="0"/>
        <w:ind w:left="142"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142" w:right="0" w:hanging="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STATEMENTS OF INCOME AND COMPREHENSIVE INCOME</w:t>
      </w:r>
      <w:r>
        <w:rPr>
          <w:rFonts w:ascii="Times New Roman;Times;Serif" w:hAnsi="Times New Roman;Times;Serif"/>
          <w:b w:val="false"/>
          <w:i w:val="false"/>
          <w:caps w:val="false"/>
          <w:smallCaps w:val="false"/>
          <w:sz w:val="20"/>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for the number of shares data)</w:t>
      </w:r>
    </w:p>
    <w:p>
      <w:pPr>
        <w:pStyle w:val="TextBody"/>
        <w:bidi w:val="0"/>
        <w:jc w:val="center"/>
        <w:rPr>
          <w:caps w:val="false"/>
          <w:smallCaps w:val="false"/>
        </w:rPr>
      </w:pPr>
      <w:r>
        <w:rPr>
          <w:caps w:val="false"/>
          <w:smallCaps w:val="false"/>
        </w:rPr>
        <w:t> </w:t>
      </w:r>
    </w:p>
    <w:tbl>
      <w:tblPr>
        <w:tblW w:w="9530" w:type="dxa"/>
        <w:jc w:val="left"/>
        <w:tblInd w:w="0" w:type="dxa"/>
        <w:tblLayout w:type="fixed"/>
        <w:tblCellMar>
          <w:top w:w="0" w:type="dxa"/>
          <w:left w:w="0" w:type="dxa"/>
          <w:bottom w:w="0" w:type="dxa"/>
          <w:right w:w="0" w:type="dxa"/>
        </w:tblCellMar>
      </w:tblPr>
      <w:tblGrid>
        <w:gridCol w:w="6590"/>
        <w:gridCol w:w="60"/>
        <w:gridCol w:w="72"/>
        <w:gridCol w:w="1226"/>
        <w:gridCol w:w="97"/>
        <w:gridCol w:w="72"/>
        <w:gridCol w:w="72"/>
        <w:gridCol w:w="1226"/>
        <w:gridCol w:w="115"/>
      </w:tblGrid>
      <w:tr>
        <w:trPr/>
        <w:tc>
          <w:tcPr>
            <w:tcW w:w="6590"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880"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For the six months ended June 30,</w:t>
            </w:r>
          </w:p>
        </w:tc>
      </w:tr>
      <w:tr>
        <w:trPr/>
        <w:tc>
          <w:tcPr>
            <w:tcW w:w="6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2" w:type="dxa"/>
            <w:tcBorders/>
            <w:vAlign w:val="center"/>
          </w:tcPr>
          <w:p>
            <w:pPr>
              <w:pStyle w:val="TableContents"/>
              <w:bidi w:val="0"/>
              <w:spacing w:before="0" w:after="283"/>
              <w:jc w:val="left"/>
              <w:rPr/>
            </w:pPr>
            <w:r>
              <w:rPr/>
              <w:t> </w:t>
            </w:r>
          </w:p>
        </w:tc>
        <w:tc>
          <w:tcPr>
            <w:tcW w:w="1413"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2026</w:t>
            </w:r>
          </w:p>
        </w:tc>
      </w:tr>
      <w:tr>
        <w:trPr/>
        <w:tc>
          <w:tcPr>
            <w:tcW w:w="6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80" w:type="dxa"/>
            <w:gridSpan w:val="7"/>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(Unaudited)</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Revenues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sales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15,153,800</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24,389,206</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Related-party sales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9,549,460</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9,355,383</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revenues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24,703,260</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33,744,589</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Cost of revenues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sales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(5,653,621</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(11,837,351</w:t>
            </w:r>
          </w:p>
        </w:tc>
        <w:tc>
          <w:tcPr>
            <w:tcW w:w="115"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Related-party sales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(6,730,162</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(7,615,072</w:t>
            </w:r>
          </w:p>
        </w:tc>
        <w:tc>
          <w:tcPr>
            <w:tcW w:w="115"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revenues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(12,383,783</w:t>
            </w:r>
          </w:p>
        </w:tc>
        <w:tc>
          <w:tcPr>
            <w:tcW w:w="9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(19,452,423</w:t>
            </w:r>
          </w:p>
        </w:tc>
        <w:tc>
          <w:tcPr>
            <w:tcW w:w="115" w:type="dxa"/>
            <w:tcBorders/>
            <w:shd w:fill="FFFFFF" w:val="clear"/>
            <w:vAlign w:val="center"/>
          </w:tcPr>
          <w:p>
            <w:pPr>
              <w:pStyle w:val="TableContents"/>
              <w:bidi w:val="0"/>
              <w:spacing w:before="0" w:after="283"/>
              <w:ind w:left="0" w:right="0" w:hanging="200"/>
              <w:jc w:val="left"/>
              <w:rPr>
                <w:rFonts w:ascii="Times New Roman;Times;Serif" w:hAnsi="Times New Roman;Times;Serif"/>
                <w:b/>
                <w:sz w:val="20"/>
              </w:rPr>
            </w:pPr>
            <w:r>
              <w:rPr>
                <w:rFonts w:ascii="Times New Roman;Times;Serif" w:hAnsi="Times New Roman;Times;Serif"/>
                <w:b/>
                <w:sz w:val="20"/>
              </w:rPr>
              <w:t>)</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12,319,477</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14,292,166</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(3,555,816</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(4,243,018</w:t>
            </w:r>
          </w:p>
        </w:tc>
        <w:tc>
          <w:tcPr>
            <w:tcW w:w="115"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(2,690,131</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(4,112,062</w:t>
            </w:r>
          </w:p>
        </w:tc>
        <w:tc>
          <w:tcPr>
            <w:tcW w:w="115"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(212,193</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(280,698</w:t>
            </w:r>
          </w:p>
        </w:tc>
        <w:tc>
          <w:tcPr>
            <w:tcW w:w="115"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(6,458,140</w:t>
            </w:r>
          </w:p>
        </w:tc>
        <w:tc>
          <w:tcPr>
            <w:tcW w:w="9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(8,635,778</w:t>
            </w:r>
          </w:p>
        </w:tc>
        <w:tc>
          <w:tcPr>
            <w:tcW w:w="115" w:type="dxa"/>
            <w:tcBorders/>
            <w:shd w:fill="CCEEFF" w:val="clear"/>
            <w:vAlign w:val="center"/>
          </w:tcPr>
          <w:p>
            <w:pPr>
              <w:pStyle w:val="TableContents"/>
              <w:bidi w:val="0"/>
              <w:spacing w:before="0" w:after="283"/>
              <w:ind w:left="0" w:right="0" w:hanging="200"/>
              <w:jc w:val="left"/>
              <w:rPr>
                <w:rFonts w:ascii="Times New Roman;Times;Serif" w:hAnsi="Times New Roman;Times;Serif"/>
                <w:b/>
                <w:sz w:val="20"/>
              </w:rPr>
            </w:pPr>
            <w:r>
              <w:rPr>
                <w:rFonts w:ascii="Times New Roman;Times;Serif" w:hAnsi="Times New Roman;Times;Serif"/>
                <w:b/>
                <w:sz w:val="20"/>
              </w:rPr>
              <w:t>)</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5,861,337</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5,656,388</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income, net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(6,291</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149,496</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166,458</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of profits from equity method investment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1,431,032</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1,475,335</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Currency exchange gain/(loss)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149,352</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(399,575</w:t>
            </w:r>
          </w:p>
        </w:tc>
        <w:tc>
          <w:tcPr>
            <w:tcW w:w="115"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net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186,949</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131,697</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net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1,910,538</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1,373,915</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Income before income tax provision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7,771,875</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7,030,303</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(1,931,362</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(1,789,902</w:t>
            </w:r>
          </w:p>
        </w:tc>
        <w:tc>
          <w:tcPr>
            <w:tcW w:w="115"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income</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5,840,513</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5,240,401</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(10,569</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(4,941</w:t>
            </w:r>
          </w:p>
        </w:tc>
        <w:tc>
          <w:tcPr>
            <w:tcW w:w="115"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income attributable to ZJK Industrial Co., Ltd.’s shareholders</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5,851,082</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5,245,342</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comprehensive (loss)/income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Foreign currency translation adjustment attributable to parent company</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559,787</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1,309,345</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Foreign currency translation adjustment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w:t>
            </w:r>
          </w:p>
        </w:tc>
        <w:tc>
          <w:tcPr>
            <w:tcW w:w="115"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comprehensive income</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6,401,017</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6,548,870</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Comprehensive income/(loss)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(9,852</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(5,817</w:t>
            </w:r>
          </w:p>
        </w:tc>
        <w:tc>
          <w:tcPr>
            <w:tcW w:w="115"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Comprehensive income attributable to ZJK Industrial Co., Ltd.’s shareholders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6,410,869</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6,554,687</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Earnings per share*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0.10</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0.08</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0.10</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0.08</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average shares used in calculating earnings per share*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61,490,641</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64,283,575</w:t>
            </w:r>
          </w:p>
        </w:tc>
        <w:tc>
          <w:tcPr>
            <w:tcW w:w="115"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61,510,641</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64,283,575</w:t>
            </w:r>
          </w:p>
        </w:tc>
        <w:tc>
          <w:tcPr>
            <w:tcW w:w="115"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The shares and per share information are presented on a retroactive basis to reflect the reorganization completed on March 28, 2023 and the two share splits that occurred on June 19, 2023 and June 6, 2024, respectively.</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for the number of shares data)</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9"/>
        <w:gridCol w:w="60"/>
        <w:gridCol w:w="64"/>
        <w:gridCol w:w="1028"/>
        <w:gridCol w:w="86"/>
        <w:gridCol w:w="64"/>
        <w:gridCol w:w="64"/>
        <w:gridCol w:w="1028"/>
        <w:gridCol w:w="92"/>
      </w:tblGrid>
      <w:tr>
        <w:trPr/>
        <w:tc>
          <w:tcPr>
            <w:tcW w:w="7719" w:type="dxa"/>
            <w:tcBorders/>
            <w:vAlign w:val="center"/>
          </w:tcPr>
          <w:p>
            <w:pPr>
              <w:pStyle w:val="TableContents"/>
              <w:bidi w:val="0"/>
              <w:spacing w:before="0" w:after="283"/>
              <w:ind w:left="0" w:right="0" w:hanging="200"/>
              <w:jc w:val="center"/>
              <w:rPr/>
            </w:pPr>
            <w:r>
              <w:rPr/>
              <w:t> </w:t>
            </w:r>
          </w:p>
        </w:tc>
        <w:tc>
          <w:tcPr>
            <w:tcW w:w="60" w:type="dxa"/>
            <w:tcBorders/>
            <w:vAlign w:val="center"/>
          </w:tcPr>
          <w:p>
            <w:pPr>
              <w:pStyle w:val="TableContents"/>
              <w:bidi w:val="0"/>
              <w:spacing w:before="0" w:after="283"/>
              <w:jc w:val="left"/>
              <w:rPr/>
            </w:pPr>
            <w:r>
              <w:rPr/>
              <w:t> </w:t>
            </w:r>
          </w:p>
        </w:tc>
        <w:tc>
          <w:tcPr>
            <w:tcW w:w="2426" w:type="dxa"/>
            <w:gridSpan w:val="7"/>
            <w:tcBorders>
              <w:bottom w:val="single" w:sz="8"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For the six months ended June 30,</w:t>
            </w:r>
          </w:p>
        </w:tc>
      </w:tr>
      <w:tr>
        <w:trPr/>
        <w:tc>
          <w:tcPr>
            <w:tcW w:w="77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8"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4" w:type="dxa"/>
            <w:tcBorders/>
            <w:vAlign w:val="center"/>
          </w:tcPr>
          <w:p>
            <w:pPr>
              <w:pStyle w:val="TableContents"/>
              <w:bidi w:val="0"/>
              <w:spacing w:before="0" w:after="283"/>
              <w:jc w:val="left"/>
              <w:rPr/>
            </w:pPr>
            <w:r>
              <w:rPr/>
              <w:t> </w:t>
            </w:r>
          </w:p>
        </w:tc>
        <w:tc>
          <w:tcPr>
            <w:tcW w:w="1184" w:type="dxa"/>
            <w:gridSpan w:val="3"/>
            <w:tcBorders>
              <w:bottom w:val="single" w:sz="8"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2026</w:t>
            </w:r>
          </w:p>
        </w:tc>
      </w:tr>
      <w:tr>
        <w:trPr/>
        <w:tc>
          <w:tcPr>
            <w:tcW w:w="77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26" w:type="dxa"/>
            <w:gridSpan w:val="7"/>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(Unaudited)</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5,840,513</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5,240,401</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Reversal for credit loss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of property, plant and equipment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333,037</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725,762</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11,769</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20,345</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213,488</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369,495</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finance lease right-of-use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38,495</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inventories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552,180</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438,681</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of profits from equity method investment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(1,431,032</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(1,475,335</w:t>
            </w:r>
          </w:p>
        </w:tc>
        <w:tc>
          <w:tcPr>
            <w:tcW w:w="92"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Provisions/(Benefits) for deferred income tax</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131,411</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(419,145</w:t>
            </w:r>
          </w:p>
        </w:tc>
        <w:tc>
          <w:tcPr>
            <w:tcW w:w="92"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676,625</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1,395,176</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operating lease early termination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(1,601,880</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329,975</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receivable-due from a related party</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1,254,624</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2,729,418</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(2,620,454</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(2,541,263</w:t>
            </w:r>
          </w:p>
        </w:tc>
        <w:tc>
          <w:tcPr>
            <w:tcW w:w="92"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(274,981</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(1,672,525</w:t>
            </w:r>
          </w:p>
        </w:tc>
        <w:tc>
          <w:tcPr>
            <w:tcW w:w="92"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receivables-due from related parties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(355,145</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582,305</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(3,037,042</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(2,981,256</w:t>
            </w:r>
          </w:p>
        </w:tc>
        <w:tc>
          <w:tcPr>
            <w:tcW w:w="92"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754,083</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(22,700</w:t>
            </w:r>
          </w:p>
        </w:tc>
        <w:tc>
          <w:tcPr>
            <w:tcW w:w="92"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payable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1,150,797</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474,839</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681,688</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66,547</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payables-due to related parties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380,049</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322,050</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(217,245</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(389,396</w:t>
            </w:r>
          </w:p>
        </w:tc>
        <w:tc>
          <w:tcPr>
            <w:tcW w:w="92"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2,480,916</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3,194,227</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(873,418</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(1,305,650</w:t>
            </w:r>
          </w:p>
        </w:tc>
        <w:tc>
          <w:tcPr>
            <w:tcW w:w="92"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(28,410</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(63,792</w:t>
            </w:r>
          </w:p>
        </w:tc>
        <w:tc>
          <w:tcPr>
            <w:tcW w:w="92"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proceeds from short-term investment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288,453</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101,372</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construction in progress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(483,781</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(41,464</w:t>
            </w:r>
          </w:p>
        </w:tc>
        <w:tc>
          <w:tcPr>
            <w:tcW w:w="92"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received from long-term equity investment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1,354,377</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1,742,712</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to related parties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(310,510</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of loans to related parties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179,036</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12,449</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125,747</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445,627</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short-term bank borrowings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1,382,017</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Repayments of short-term bank borrowings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(1,317,062</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Contribution from non-controlling shareholders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116,171</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64,955</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116,171</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211,903</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884,072</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change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2,883,521</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4,640,097</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cash equivalents and restricted cash at the beginning of period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13,052,455</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16,388,000</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cash equivalents and restricted cash at the end of period</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15,935,976</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21,028,097</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following table provides a reconciliation of cash and cash equivalents and restricted cash reported within the unaudited Condensed Consolidated Balance Sheets that sum to the total of the same amounts shown in the unaudited Condensed Consolidated Statements of Cash Flows: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14,450,968</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16,543,610</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1,485,008</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4,484,487</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and cash equivalents and restricted cash shown in the unaudited Condensed Consolidated Statements of Cash Flows</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15,935,976</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21,028,097</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paid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781,335</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1,839,031</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expenses paid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6,064</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disclosures of non-cash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Obtaining operating right-of-use assets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21,361</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7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Acquiring property, plant and equipment transferred from construction in progress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284,456</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155,923</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7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Acquiring property, plant and equipment in exchange for accounts payable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719,921</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117,459</w:t>
            </w:r>
          </w:p>
        </w:tc>
        <w:tc>
          <w:tcPr>
            <w:tcW w:w="92" w:type="dxa"/>
            <w:tcBorders/>
            <w:shd w:fill="CCEEFF" w:val="clear"/>
            <w:vAlign w:val="center"/>
          </w:tcPr>
          <w:p>
            <w:pPr>
              <w:pStyle w:val="TableContents"/>
              <w:bidi w:val="0"/>
              <w:spacing w:before="0" w:after="283"/>
              <w:jc w:val="left"/>
              <w:rPr/>
            </w:pPr>
            <w:r>
              <w:rPr/>
              <w:t> </w:t>
            </w:r>
          </w:p>
        </w:tc>
      </w:tr>
    </w:tbl>
    <w:p>
      <w:pPr>
        <w:pStyle w:val="TextBody"/>
        <w:bidi w:val="0"/>
        <w:ind w:left="142" w:right="0" w:hanging="0"/>
        <w:jc w:val="center"/>
        <w:rPr>
          <w:caps w:val="false"/>
          <w:smallCaps w:val="false"/>
        </w:rPr>
      </w:pPr>
      <w:r>
        <w:rPr>
          <w:caps w:val="false"/>
          <w:smallCaps w:val="false"/>
        </w:rPr>
        <w:t> </w:t>
      </w:r>
    </w:p>
    <w:p>
      <w:pPr>
        <w:pStyle w:val="TextBody"/>
        <w:bidi w:val="0"/>
        <w:ind w:left="142" w:right="0" w:hanging="0"/>
        <w:jc w:val="center"/>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941506/000173112225000921/e6671_s-8.htm" TargetMode="External"/><Relationship Id="rId3" Type="http://schemas.openxmlformats.org/officeDocument/2006/relationships/hyperlink" Target="http://www.sec.gov/Archives/edgar/data/0001941506/000173112226000255/e7306_f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24712</Words>
  <Characters>140143</Characters>
  <CharactersWithSpaces>167772</CharactersWithSpaces>
  <Paragraphs>8634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