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60"/>
        <w:jc w:val="left"/>
        <w:rPr>
          <w:bdr w:val="single" w:sz="16" w:space="1" w:color="000000"/>
        </w:rPr>
      </w:pPr>
      <w:bookmarkStart w:id="0" w:name="e7482_f3a1.htm"/>
      <w:bookmarkStart w:id="1" w:name="kse7482_f3a1"/>
      <w:bookmarkEnd w:id="0"/>
      <w:bookmarkEnd w:id="1"/>
      <w:r>
        <w:rPr>
          <w:bdr w:val="single" w:sz="16" w:space="1" w:color="000000"/>
        </w:rPr>
        <w:t> </w:t>
      </w:r>
    </w:p>
    <w:p>
      <w:pPr>
        <w:pStyle w:val="TextBody"/>
        <w:bidi w:val="0"/>
        <w:spacing w:before="0" w:after="283"/>
        <w:jc w:val="left"/>
        <w:rPr/>
      </w:pPr>
      <w:r>
        <w:rPr/>
        <w:t xml:space="preserv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March 23, 2026</w:t>
      </w:r>
      <w:r>
        <w:rPr>
          <w:rFonts w:ascii="Times New Roman;Times;Serif" w:hAnsi="Times New Roman;Times;Serif"/>
          <w:b w:val="false"/>
          <w:i w:val="false"/>
          <w:caps w:val="false"/>
          <w:smallCaps w:val="false"/>
          <w:sz w:val="20"/>
        </w:rPr>
        <w:t xml:space="preserve">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333-293519 </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Amendment No. 1</w:t>
      </w:r>
      <w:r>
        <w:rPr>
          <w:rFonts w:ascii="Times New Roman;Times;Serif" w:hAnsi="Times New Roman;Times;Serif"/>
          <w:b w:val="false"/>
          <w:i w:val="false"/>
          <w:caps w:val="false"/>
          <w:smallCaps w:val="false"/>
          <w:sz w:val="36"/>
        </w:rPr>
        <w:t xml:space="preserve"> </w:t>
      </w:r>
    </w:p>
    <w:p>
      <w:pPr>
        <w:pStyle w:val="TextBody"/>
        <w:bidi w:val="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to</w:t>
      </w:r>
      <w:r>
        <w:rPr>
          <w:rFonts w:ascii="Times New Roman;Times;Serif" w:hAnsi="Times New Roman;Times;Serif"/>
          <w:b w:val="false"/>
          <w:i w:val="false"/>
          <w:caps w:val="false"/>
          <w:smallCaps w:val="false"/>
          <w:sz w:val="36"/>
        </w:rPr>
        <w:t xml:space="preserve"> </w:t>
      </w:r>
    </w:p>
    <w:p>
      <w:pPr>
        <w:pStyle w:val="TextBody"/>
        <w:bidi w:val="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ZJK INDUSTRIAL CO.,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2855"/>
        <w:gridCol w:w="60"/>
        <w:gridCol w:w="2195"/>
      </w:tblGrid>
      <w:tr>
        <w:trPr/>
        <w:tc>
          <w:tcPr>
            <w:tcW w:w="2855" w:type="dxa"/>
            <w:tcBorders>
              <w:bottom w:val="single" w:sz="8" w:space="0" w:color="000000"/>
            </w:tcBorders>
            <w:vAlign w:val="center"/>
          </w:tcPr>
          <w:p>
            <w:pPr>
              <w:pStyle w:val="TableContents"/>
              <w:bidi w:val="0"/>
              <w:spacing w:before="0" w:after="283"/>
              <w:jc w:val="center"/>
              <w:rPr>
                <w:b/>
              </w:rPr>
            </w:pPr>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8" w:space="0" w:color="000000"/>
            </w:tcBorders>
            <w:vAlign w:val="center"/>
          </w:tcPr>
          <w:p>
            <w:pPr>
              <w:pStyle w:val="TableContents"/>
              <w:bidi w:val="0"/>
              <w:spacing w:before="0" w:after="283"/>
              <w:jc w:val="center"/>
              <w:rPr>
                <w:b/>
              </w:rPr>
            </w:pPr>
            <w:r>
              <w:rPr>
                <w:b/>
              </w:rPr>
              <w:t>Not Applicable</w:t>
            </w:r>
          </w:p>
        </w:tc>
      </w:tr>
      <w:tr>
        <w:trPr/>
        <w:tc>
          <w:tcPr>
            <w:tcW w:w="2855"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No.8, Jingqiang Road, 138 Industrial Zone,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Xiuxin Community, Kengzi Town,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Pingshan New Area, Shenzhen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 518122</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+86-0755-28341175</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800-221-0102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Henry Yin, Esq.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Benjamin Yao, Esq.</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2206-19 Jardine House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Connaught Place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Central, Hong Kong SAR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 3923-1111</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jc w:val="righ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U.S. Securities and Exchange Commission, acting pursuant to said Section 8(a), may determine.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22" w:type="dxa"/>
        <w:tblLayout w:type="fixed"/>
        <w:tblCellMar>
          <w:top w:w="60" w:type="dxa"/>
          <w:left w:w="82" w:type="dxa"/>
          <w:bottom w:w="60" w:type="dxa"/>
          <w:right w:w="82" w:type="dxa"/>
        </w:tblCellMar>
      </w:tblPr>
      <w:tblGrid>
        <w:gridCol w:w="10205"/>
      </w:tblGrid>
      <w:tr>
        <w:trPr/>
        <w:tc>
          <w:tcPr>
            <w:tcW w:w="10205" w:type="dxa"/>
            <w:tcBorders>
              <w:top w:val="double" w:sz="6" w:space="0" w:color="000000"/>
              <w:left w:val="double" w:sz="6" w:space="0" w:color="000000"/>
              <w:bottom w:val="double" w:sz="6" w:space="0" w:color="000000"/>
              <w:right w:val="double" w:sz="6" w:space="0" w:color="000000"/>
            </w:tcBorders>
            <w:vAlign w:val="center"/>
          </w:tcPr>
          <w:p>
            <w:pPr>
              <w:pStyle w:val="TableContents"/>
              <w:bidi w:val="0"/>
              <w:spacing w:before="0" w:after="283"/>
              <w:jc w:val="both"/>
              <w:rPr>
                <w:color w:val="FF0000"/>
              </w:rPr>
            </w:pPr>
            <w:r>
              <w:rPr>
                <w:color w:val="FF0000"/>
              </w:rPr>
              <w:t>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 xml:space="preserve">SUBJECT TO COMPLETION, DATED MARCH 23, 2026 </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$300,000,000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127635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942975"/>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ZJK Industrial Co., Ltd.</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the securities of ZJK Industrial Co., Ltd., a Cayman Islands holding company. We may, from time to time, in one or more offerings, offer and sell up to $300,000,000 of our Class A ordinary shares of par value $0.000016666667 each (the “Class A Ordinary Shares”), warrants, rights, and units, or any combination thereof, together or separately as described in this prospectus. In this prospectus, references to the term “securities” refers, collectively, to our Class A Ordinary Shares, warrants, rights, and units.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from time to time, selling shareholders named in a prospectus supplement may offer and sell our Class A Ordinary Shares held by them. We will not receive any proceeds from the sale of our Class A Ordinary Shares by selling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You should read this prospectus, any prospectus supplement, and any free writing prospectus before you invest in any of our securities. The prospectus supplement and any related free writing prospectus may add, update, or change information in this prospectus. You should read carefully this prospectus, the applicable prospectus supplement, and any related free writing prospectus, as well as the documents incorporated or deemed to be incorporated by reference, before you invest in any of our securities. This prospectus may not be used to offer or sell any securities unless accompanied by the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options to purchase additional securities held by them will be described in the applicable prospectus supplement. For a more complete description of the plan of distribution of these securities, please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xml:space="preserve">” in this prospectus.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 xml:space="preserve">Our Class A Ordinary Shares are listed on the Nasdaq Capital Market, or “Nasdaq,” under the symbol “ZJK.” On March 20, 2026, the last reported sale price of our Class A Ordinary Shares on the Nasdaq was $2.21 per share. The aggregate market value of our outstanding Class A Ordinary Shares held by non-affiliates, or public float, as of March 20, 2026, was approximately $33,477,215, which was calculated based on 15,148,061 Class A Ordinary Shares held by non-affiliates and the price of $2.21 per share, which was the closing price of our Class A Ordinary Shares on the </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0"/>
        </w:rPr>
        <w:t>Nasdaq Capital Market on March 20, 2026. Pursuant to General Instruction I.B.5 of Form F-3, in no event will we sell our securities in a public primary offering with a value exceeding more than one-third of our public float in any 12-month period so long as our public float remains below $75 million. During the 12 calendar months prior to and including the date of this prospectus, we have not offered or sold any securities pursuant to General Instruction I.B.5 of Form F-3.</w:t>
      </w:r>
      <w:r>
        <w:rPr>
          <w:rFonts w:ascii="Times New Roman;Times;Serif" w:hAnsi="Times New Roman;Times;Serif"/>
          <w:b w:val="false"/>
          <w:i w:val="false"/>
          <w:caps w:val="false"/>
          <w:smallCaps w:val="false"/>
          <w:sz w:val="24"/>
        </w:rPr>
        <w:t xml:space="preserve">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Before making an investment decision, please read the information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10 of this prospectus and risk factors set forth in our most recent annual report on Form 20-F (the “2024 Annual Report”), in other reports incorporated herein by reference, and in an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selling shareholders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a more complete description of the ways in which the securities may be sold.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which we refer to as “Zhongjinke,” “the Company,” or “Cayman Islands holding company,” is a Cayman Islands exempted company with limited liability that operates as a holding company with no material operations of its own, and conducts substantially all of its operations through Shenzhen Zhongjinke Hardware Products Co., Ltd, which we refer to as “Zhongjinke Shenzhen”, Zhongke Precision Components (Guangdong) Co., Ltd, which we refer to as “Zhongke Components”, and ZJK Vietnam Precision Components Company Limited, which we refer to as “Precision Vietnam”. Zhongjinke Shenzhen holds 100% of the shares of ZJK Precision Parts HK Limited, which we refer to as “Precision HK”, 100% of the shares of Zhongke Components, 51% of the shares of Nanjing Zhongjinke Hardware Products Co., Ltd., which we refer to as “Zhongjinke Nanjing,” and 49% of PSM-ZJK Fasteners (Shenzhen) Co., Ltd, which we refer to as “PSM-ZJK”. We will refer to Zhongjinke Shenzhen, Zhongke Components and Zhongjinke Nanjing collectively as “PRC Operating Subsidiaries,” and PRC Operating Subsidiaries and PSM-ZJK collectively as “PRC Operating Entities.” Precision HK holds 100% of the shares of Precision Vietnam. We will refer to PRC Operating Subsidiaries and Precision Vietnam collectively as “Operating Subsidiaries”; PRC Operating Entities and Precision Vietnam collectively as “Operating Entities”. The securities offered in this prospectus are shares of Zhongjinke, our Cayman Islands holding company, instead of securities of our Operating Entities. Investors in our securitis should be aware that they may never directly hold equity interests in our Operating Subsidiaries or Operating Entities.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indirectly hold equity interests in our PRC Entities, Zhongjinke Shenzhen, Zhongke Components, Zhongjinke Nanjing and PSM-ZJK, through our BVI subsidiary, ZJK Enterprises Group (BVI) Company Limited, which we refer to as “Zhongjinke BVI” or “BVI subsidiary.” Zhongjinke BVI holds 100% of the shares of our Hong Kong subsidiary, ZJK Industrial Group HongKong Limited, which we refer to as “Zhongjinke HK” or “Hong Kong subsidiary.” Zhongjinke HK holds 100% of Zhongke Chuangwei (Shenzhen) International Holdings Limited and Galaxy Exploration Investment Holding Limited, which we refer to as “Zhongjinke WFOE” and “Galaxy Exploration,” respectively. Zhongjinke WFOE and Galaxy Exploration holds 99.225% and 0.775% of the shares of Zhongjinke Shenzhen, respectively. We refer to Zhongjinke WFOE and the PRC Operating Subsidiaries collectively as “PRC Subsidiaries,” and Zhongjinke WFOE and the PRC Operating Entities collectively as “PRC Entities.”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Entities were organized in the PRC and governed by the PRC laws. We do not have a variable interest entity (“VIE”) structure.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statements by the PRC government have indicated an intent to exert more oversight and control over offerings that are conducted overseas and/or foreign investments in China-based issuers. The PRC government recently initiated a series of regulatory actions and made a number of public statements on the regulation of business operations in China,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On February 17, 2023, the CSRC issued the Trial Administrative Measures of Overseas Securities Offering and Listing by Domestic Companies (the “Trial Administrative Measures”) and supporting guidance (collectively, the “Filing Rules on Overseas Listings”), which came into effect on March 31, 2023. The Filing Rules on Overseas Listings, among other things, stipulate that, after making relevant applications with overseas stock markets for initial public offerings or listings, all China-based companies shall file with the CSRC within three working days. Where a China-based company submits its application for initial public offering and listing overseas by secret or non-public means, it may submit explanations at the time of filing with the CSRC, apply to postpone the disclosure of the information, and shall report to the CSRC within three working days after the applications for offering and listing are submitted public overseas. After completing overseas offerings and listings, China-based companies shall report to the CSRC in accordance with the guidance. China-based companies applying for overseas offerings and listings after March 31, 2023 shall file with the CSRC within three working days after submitting the application for listing overseas. Furthermore, on February 24, 2023, the CSRC, together with the Ministry of Finance, the National Administration of State Secrets Protection Bureau and the National Archives Administration issued the “Provisions on Strengthening Confidentiality and Archives Administration of Overseas Securities Offering and Listing by Domestic Companies” (the “Archives Rules”), which also came into effect on March 31, 2023. As is consistent with the Filing Rules on Overseas Listings, the Archives Rules expand their application to cover indirect overseas offering and listing, stipulating that a domestic company which plans to publicly disclose any documents and materials containing state secrets or working secrets of government agencies, shall first obtain approval from competent authorities according to law, and file with the secrecy administrative department at the same level. According to the Filing Rules on Overseas Listings, we are required to file with the CSRC and obtain its approval to be listed on Nasdaq Capital Market. On October 7, 2023, we submitted a filing with the CSRC in connection with this offering, which was within three working days after submitting the filing application for listing overseas, and the CSRC published the notification on our completion of the required filing procedures on January 22, 2024. In addition, we are required to report the offering and listing status to the CSRC within 15 business days from our completion of this offering. If we fail to complete this offering within 12 months from the issuance date of the filing notification, and the offering is still under progress, we are required to update the filing materials and documents with the CSRC, which may take us additional time to comply with the filing requirements. We have reported the offering and listing status to the CSRC within 15 business days from our completion of this offering on September 30, 2024. We may also be required to file with the CSRC within 3 working days after any of our future issuance of securities on Nasdaq Capital Market including follow-on offerings, issuance of convertible bonds, depositary receipts, or other securities with equity characteristics. If we fail to comply with the filing procedures stipulated in the Filing Rules on Overseas Listings after our future follow on offerings, the CSRC may order us to rectify the violation, issue a warning, and impose a fine ranging from RMB1 million to RMB10 million.</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an offering of securities of the offshore Cayman Islands holding company, Zhongjinke, which indirectly holds equity interest in our Operating Entities. Investors in the securities are not purchasing, and may never directly hold, securities of our Operating Entities that have substantive business operations. Investing in our securities is highly speculative, involves a high degree of risk and should be considered only by persons who can afford the loss of their entire investment.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Zhongjinke nor any of its subsidiaries has cash management policies which dictate the purpose, amount and procedure of cash transfers between the entities. Each entity needs to comply with applicable laws or regulations with respect to transfer of funds, dividends and distributions with other entities. As a holding company, we may rely on transfer of funds, dividends and other distributions on equity paid by our subsidiaries for our cash and financing requirements.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have been no cash flow transactions between the Company and its subsidiaries. In the future, cash proceeds from overseas financing activities, including this offering, will be transferred by Zhongjinke to its subsidiaries via capital contribution or shareholder loans, as the case may be.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proceeds raised from overseas financing activities, including the cash proceeds from this offering, will be transferred by us to Zhongjinke BVI, and then transferred to Zhongjinke HK, and then transferred to Zhongjinke WFOE and/or Galaxy Exploration, and then transferred to Zhongjinke Shenzhen, which will then be transferred to Zhongke Components, Zhongjinke Nanjing, and PSM-ZJK, as capital contribution and/or shareholder loans as the case may be. Any transfer of funds by us to our PRC Entities, either as a shareholder loan or as an increase in registered capital, are subject to approval by or registration or filing with relevant governmental authorities in China. Any foreign loans procured by our PRC Entities is required to be registered with the State Administration of Foreign Exchange in China (the “SAFE”) in its local branches and satisfy relevant requirements, and our PRC Entities may not procure loans which exceed the difference between its respective total project investment amount and registered capital or two times (which may be varied year by year due to the change of PRC’s national macro-control policy) of the net worth of our PRC Entities. According to the relevant PRC regulations on foreign-invested enterprises in China, capital contributions to our PRC Entities are subject to the registration with State Administration for Market Regulation (“SAMR”) in its local branches, report submission to the Ministry of Commerce of China (the “MOFCOM”) in its local branches and registration with a local bank authorized by SAFE. Please see “Item 3. Key Information – D. Risk Factors – Risks Related to Doing Business in China — We must remit the offering proceeds to our PRC Operating Entities before they may be used to benefit our business in China, the process of which may be time-consuming, and we cannot assure that we can finish all necessary governmental registration processes in a timely manner” in the 2024 Annual Report. We intend to keep any future earnings to re-invest in and finance the expansion of our business, and we do not anticipate that any cash dividends will be paid in the foreseeable future.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PSM-ZJK has made dividends or distributions of US$2,319,218 to Zhongjinke Shenzhen in 2024 and US$1,863,561 in 2023. We intend to keep any future earnings to re-invest in and finance the expansion of the business of our PRC Subsidiaries, and we do not anticipate that any cash dividends will be paid in the foreseeable future to the U.S. investors immediately following the consummation of this offering. Under Cayman Islands law, a Cayman Islands company may pay a dividend on its shares out of profits of the company or its share premium account or a combination of both, provided that in no circumstances may a dividend be paid if, following the date on which the dividend is proposed to be paid, the company would be unable to pay its debts as they fall due in the ordinary course of business.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us to pay dividends to our shareholders, as a holding company, unless we receive proceeds from future offerings, we will be dependent on receipt of funds from our BVI subsidiary, which will be dependent on receipt of dividends from our Hong Kong subsidiary, which will be dependent on receipt of payments from Zhongjinke WFOE and Galaxy Exploration, which will be dependent on receipt of payments from the PRC Operating Entities. PRC regulations currently permit the payment of dividends only out of accumulated profits, as determined in accordance with accounting standards and PRC regulations. To the extent any funds or assets in the business is in mainland China or Hong Kong or a mainland China or Hong Kong entity, the funds or assets may not be available to fund operations or for other use outside of mainland China or Hong Kong, except as otherwise approved by competent PRC government authorities to be used to make overseas investment or lend to overseas affiliates, due to the compliance requirement by PRC governments which may limit our ability to transfer funds abroad, pay dividends or make distribution. The PRC government imposes control on the conversion of RMB into foreign currencies and the remittance of currencies out of mainland China. Furthermore, if our PRC Entities incur debt on its own in the future, the instruments governing the debt may restrict its ability to pay dividends or make other payments and our cash and financing requirement may not be fully satisfied.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Enterprise Income Tax Law and its implementation rules provide that a withholding tax at a rate of 10% will be applicable to dividends payable by companies in mainland China to enterprises outside of mainland China unless reduced under treaties or arrangements between the PRC central government and the governments of other countries or regions where the enterprises outside of mainland China are tax resident. Based on our understanding of the Hong Kong laws and regulations, as of the date of this prospectus, there is no restriction imposed by the Hong Kong government on the transfer of capital within, into and out of Hong Kong (including funds from Hong Kong to mainland China), except transfer of funds involving money laundering and criminal activities. Based on our understanding of the BVI laws and regulations, as of the date of this prospectus, there is no restriction on the transfer of capital within, into and out of BVI.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 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w:t>
      </w:r>
      <w:r>
        <w:rPr>
          <w:rFonts w:ascii="Times New Roman;Times;Serif" w:hAnsi="Times New Roman;Times;Serif"/>
          <w:b w:val="false"/>
          <w:i/>
          <w:caps w:val="false"/>
          <w:smallCaps w:val="false"/>
          <w:sz w:val="20"/>
        </w:rPr>
        <w:t>Item 3. Key Information — 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Ordinary Shares may be subject to delisting</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conduct substantially all of our operations in China through our Operating Entities, and all of the assets of our Operating Entities are located in China. In addition, other than Daniel Kelly Kennedy, an independent director, who is a U.S. citizen, all of our other directors and officers are nationals or residents of countries other than the United States. A substantial portion of the assets of these persons is located outside the United States. As a result, it may be difficult for you to effect service of process within the United States upon these persons. It may also be difficult for you to enforce the U.S. courts judgments obtained in U.S. courts including judgments based on the civil liability provisions of the U.S. federal securities laws against us and our officers and directors. See “</w:t>
      </w:r>
      <w:r>
        <w:rPr>
          <w:rFonts w:ascii="Times New Roman;Times;Serif" w:hAnsi="Times New Roman;Times;Serif"/>
          <w:b w:val="false"/>
          <w:i/>
          <w:caps w:val="false"/>
          <w:smallCaps w:val="false"/>
          <w:sz w:val="20"/>
        </w:rPr>
        <w:t>Item 3. Key Information — D. Risk Factors — Risks Related to Our Business and Industry — 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Rules because our chairman and chief executive officer, Mr. Ning Ding, beneficially owns more than 50% of our total voting power.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See “</w:t>
      </w:r>
      <w:r>
        <w:rPr>
          <w:rFonts w:ascii="Times New Roman;Times;Serif" w:hAnsi="Times New Roman;Times;Serif"/>
          <w:b w:val="false"/>
          <w:i/>
          <w:caps w:val="false"/>
          <w:smallCaps w:val="false"/>
          <w:sz w:val="20"/>
        </w:rPr>
        <w:t>Item 3. Key Information—D. Risk Factors—Risks Related to Our Ordinary Shares—As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both an “emerging growth company” and a “foreign private issuer” as defined under applicable U.S. securities laws and are eligible for reduced public company reporting requirements. See “</w:t>
      </w:r>
      <w:r>
        <w:rPr>
          <w:rFonts w:ascii="Times New Roman;Times;Serif" w:hAnsi="Times New Roman;Times;Serif"/>
          <w:b w:val="false"/>
          <w:i/>
          <w:caps w:val="false"/>
          <w:smallCaps w:val="false"/>
          <w:sz w:val="20"/>
        </w:rPr>
        <w:t>Item 3. Key Information—D. Risk Factors—Risks Related to Our Ordinary Shares— We are an emerging growth company within the meaning of the Securities Act and may take advantage of certain reduced reporting requirements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Item 3. Key Information—D. Risk Factors—Risks Related to Our Ordinary Shares—We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March 23, 2026.</w:t>
      </w:r>
      <w:r>
        <w:rPr>
          <w:rFonts w:ascii="Times New Roman;Times;Serif" w:hAnsi="Times New Roman;Times;Serif"/>
          <w:b w:val="false"/>
          <w:i w:val="false"/>
          <w:caps w:val="false"/>
          <w:smallCaps w:val="false"/>
          <w:sz w:val="20"/>
        </w:rPr>
        <w:t xml:space="preserve">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5495"/>
        <w:gridCol w:w="455"/>
      </w:tblGrid>
      <w:tr>
        <w:trPr/>
        <w:tc>
          <w:tcPr>
            <w:tcW w:w="549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49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2">
              <w:r>
                <w:rPr>
                  <w:rStyle w:val="InternetLink"/>
                </w:rPr>
                <w:t>Commonly Used Defined Terms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iii</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3">
              <w:r>
                <w:rPr>
                  <w:rStyle w:val="InternetLink"/>
                </w:rPr>
                <w:t>Cautionary Note Regarding Forward-Looking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4">
              <w:r>
                <w:rPr>
                  <w:rStyle w:val="InternetLink"/>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5">
              <w:r>
                <w:rPr>
                  <w:rStyle w:val="InternetLink"/>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6">
              <w:r>
                <w:rPr>
                  <w:rStyle w:val="InternetLink"/>
                </w:rPr>
                <w:t>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7">
              <w:r>
                <w:rPr>
                  <w:rStyle w:val="InternetLink"/>
                </w:rPr>
                <w:t>Capitalization and Indebtedness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8">
              <w:r>
                <w:rPr>
                  <w:rStyle w:val="InternetLink"/>
                </w:rPr>
                <w:t>Dilution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09">
              <w:r>
                <w:rPr>
                  <w:rStyle w:val="InternetLink"/>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0">
              <w:r>
                <w:rPr>
                  <w:rStyle w:val="InternetLink"/>
                </w:rPr>
                <w:t>Description of Share Capital</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1">
              <w:r>
                <w:rPr>
                  <w:rStyle w:val="InternetLink"/>
                </w:rPr>
                <w:t>Description of Warrants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2">
              <w:r>
                <w:rPr>
                  <w:rStyle w:val="InternetLink"/>
                </w:rPr>
                <w:t>Description of Rights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3">
              <w:r>
                <w:rPr>
                  <w:rStyle w:val="InternetLink"/>
                </w:rPr>
                <w:t>Description of Units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4">
              <w:r>
                <w:rPr>
                  <w:rStyle w:val="InternetLink"/>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5">
              <w:r>
                <w:rPr>
                  <w:rStyle w:val="InternetLink"/>
                </w:rPr>
                <w:t>Taxation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6">
              <w:r>
                <w:rPr>
                  <w:rStyle w:val="InternetLink"/>
                </w:rPr>
                <w:t>Expenses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7">
              <w:r>
                <w:rPr>
                  <w:rStyle w:val="InternetLink"/>
                </w:rPr>
                <w:t>Material Contracts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8">
              <w:r>
                <w:rPr>
                  <w:rStyle w:val="InternetLink"/>
                </w:rPr>
                <w:t>Material Changes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19">
              <w:r>
                <w:rPr>
                  <w:rStyle w:val="InternetLink"/>
                </w:rPr>
                <w:t>Legal Matters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0">
              <w:r>
                <w:rPr>
                  <w:rStyle w:val="InternetLink"/>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1">
              <w:r>
                <w:rPr>
                  <w:rStyle w:val="InternetLink"/>
                </w:rPr>
                <w:t>Incorporation of Documents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2">
              <w:r>
                <w:rPr>
                  <w:rStyle w:val="InternetLink"/>
                </w:rPr>
                <w:t>Where You Can Find Additional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5495"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495" w:type="dxa"/>
            <w:tcBorders/>
            <w:shd w:fill="CCEEFF" w:val="clear"/>
            <w:vAlign w:val="center"/>
          </w:tcPr>
          <w:p>
            <w:pPr>
              <w:pStyle w:val="TableContents"/>
              <w:bidi w:val="0"/>
              <w:spacing w:before="0" w:after="283"/>
              <w:jc w:val="left"/>
              <w:rPr/>
            </w:pPr>
            <w:hyperlink w:anchor="a_023">
              <w:r>
                <w:rPr>
                  <w:rStyle w:val="InternetLink"/>
                </w:rPr>
                <w:t>Enforceability of Civil Liabilities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utilizing a “shelf” registration process. Under this shelf registration process, we may, from time to time, sell the securities described in this prospectus in one or more offerings, up to a total offering amount of $300,000,000.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the information included in the registration statement. We have omitted parts of the registration statement in accordance with the rules and regulations of the SEC. Statements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 matters. You should read both this prospectus and any prospectus supplement or other offering materials together with additional information described under the headings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prospectus is accurate as of the date on the front cover. The information incorporated by reference into this prospectus is accurate as of the date of the document from which the information is incorporated. You should not assume that the information contained in this prospectus is accurate as of any other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We have not authorized anyone to provide you with additional or different information. This document may only be used where it is legal to sell these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under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COMMONLY USED DEFINED TERMS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75"/>
        <w:gridCol w:w="170"/>
        <w:gridCol w:w="82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240" w:type="dxa"/>
            <w:tcBorders/>
            <w:vAlign w:val="center"/>
          </w:tcPr>
          <w:p>
            <w:pPr>
              <w:pStyle w:val="TableContents"/>
              <w:bidi w:val="0"/>
              <w:spacing w:before="0" w:after="283"/>
              <w:jc w:val="both"/>
              <w:rPr/>
            </w:pPr>
            <w:r>
              <w:rPr/>
              <w:t>“</w:t>
            </w:r>
            <w:r>
              <w:rPr/>
              <w:t xml:space="preserve">AHFCAA” refers to the Accelerating Holding Foreign Companies Accountable Act;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CAC” refers to the Cyberspace Administration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China” or the “PRC” refers to the People’s Republic of China; “mainland China” refers to mainland of the People’s Republic of China, excluding the Hong Kong Special Administrative Region and the Macao Special Administrative Region;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the Class A ordinary shares of ZJK Industrial Co., Ltd., par value $0.000016666667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the Class B ordinary shares of ZJK Industrial Co., Ltd., par value $0.000016666667 per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CSRC” refers to the China Securities Regulatory Commission;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Depending on the context, “we,” “us,” “our company,” “our” and “Zhongjinke” refers to ZJK Industrial Co., Ltd., a Cayman Islands exempted company incorporated with limited liability, and its subsidiaries, including ZJK Enterprises Group (BVI) Company Limited, ZJK Industrial Group HongKong Limited, Zhongke Chuangwei (Shenzhen) International Holdings Limited, Galaxy Exploration Investment Holding Limited, Shenzhen Zhongjinke Hardware Products Co., Ltd, Zhongke Precision Components (Guangdong) Co., Ltd., Nanjing Zhongjinke Hardware Products Co., Ltd., and PSM-ZJK Fasteners (Shenzhen) Co., Ltd., unless the context otherwise indicates;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Galaxy Exploration” refers to Galaxy Exploration Investment Holding Limited, a company incorporated in the British Virgin Islands and wholly-owned by Zhongjinke HK; </w:t>
            </w:r>
          </w:p>
        </w:tc>
      </w:tr>
    </w:tbl>
    <w:p>
      <w:pPr>
        <w:pStyle w:val="TextBody"/>
        <w:bidi w:val="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965" w:type="dxa"/>
            <w:tcBorders/>
            <w:vAlign w:val="center"/>
          </w:tcPr>
          <w:p>
            <w:pPr>
              <w:pStyle w:val="TableContents"/>
              <w:bidi w:val="0"/>
              <w:spacing w:before="0" w:after="283"/>
              <w:jc w:val="both"/>
              <w:rPr/>
            </w:pPr>
            <w:r>
              <w:rPr/>
              <w:t>“</w:t>
            </w:r>
            <w:r>
              <w:rPr/>
              <w:t>HFCA Act” refers to the Holding Foreign Companies Accountable Act;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M&amp;A Rules” refers to the Regulations on Mergers and Acquisitions of Domestic Enterprises by Foreign Investors of China;</w:t>
            </w:r>
          </w:p>
        </w:tc>
      </w:tr>
    </w:tbl>
    <w:p>
      <w:pPr>
        <w:pStyle w:val="TextBody"/>
        <w:bidi w:val="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645" w:type="dxa"/>
            <w:tcBorders/>
            <w:vAlign w:val="center"/>
          </w:tcPr>
          <w:p>
            <w:pPr>
              <w:pStyle w:val="TableContents"/>
              <w:bidi w:val="0"/>
              <w:spacing w:before="0" w:after="283"/>
              <w:jc w:val="both"/>
              <w:rPr/>
            </w:pPr>
            <w:r>
              <w:rPr/>
              <w:t>“</w:t>
            </w:r>
            <w:r>
              <w:rPr/>
              <w:t>MOFCOM” refers to the Ministry of Commerce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Negative List” refers to the Special Administrative Measures for the Access of Foreign Investment (Negative List);</w:t>
            </w:r>
          </w:p>
        </w:tc>
      </w:tr>
    </w:tbl>
    <w:p>
      <w:pPr>
        <w:pStyle w:val="TextBody"/>
        <w:bidi w:val="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685" w:type="dxa"/>
            <w:tcBorders/>
            <w:vAlign w:val="center"/>
          </w:tcPr>
          <w:p>
            <w:pPr>
              <w:pStyle w:val="TableContents"/>
              <w:bidi w:val="0"/>
              <w:spacing w:before="0" w:after="283"/>
              <w:jc w:val="both"/>
              <w:rPr/>
            </w:pPr>
            <w:r>
              <w:rPr/>
              <w:t>“</w:t>
            </w:r>
            <w:r>
              <w:rPr/>
              <w:t>NDRC” refers to the National Development and Reform Commission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NPC” refers to the National People’s Congress of China;</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refers to our Class A Ordinary Shares and Class B Ordinary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Precision HK” refers to ZJK Precision Parts HK Limited, a company incorporated in Hong Kong and wholly-owned by Zhongjinke Shenzhen;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Precision Vietnam” refers to ZJK Vietnam Precision Components Company Limited, a company incorporated in Vietnam and wholly-owned by Precision HK;</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PSM-ZJK” refers to PSM-ZJK Fasteners (Shenzhen) Co., Ltd.;</w:t>
            </w:r>
          </w:p>
        </w:tc>
      </w:tr>
    </w:tbl>
    <w:p>
      <w:pPr>
        <w:pStyle w:val="TextBody"/>
        <w:bidi w:val="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170"/>
        <w:gridCol w:w="65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545" w:type="dxa"/>
            <w:tcBorders/>
            <w:vAlign w:val="center"/>
          </w:tcPr>
          <w:p>
            <w:pPr>
              <w:pStyle w:val="TableContents"/>
              <w:bidi w:val="0"/>
              <w:spacing w:before="0" w:after="283"/>
              <w:jc w:val="both"/>
              <w:rPr/>
            </w:pPr>
            <w:r>
              <w:rPr/>
              <w:t>“</w:t>
            </w:r>
            <w:r>
              <w:rPr/>
              <w:t>RMB,” “Renminbi” or “yuan” refers to the legal currency of China;</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iii</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650" w:type="dxa"/>
            <w:tcBorders/>
            <w:vAlign w:val="center"/>
          </w:tcPr>
          <w:p>
            <w:pPr>
              <w:pStyle w:val="TableContents"/>
              <w:bidi w:val="0"/>
              <w:spacing w:before="0" w:after="283"/>
              <w:jc w:val="both"/>
              <w:rPr/>
            </w:pPr>
            <w:r>
              <w:rPr/>
              <w:t>“</w:t>
            </w:r>
            <w:r>
              <w:rPr/>
              <w:t>SAFE” refers to State Administration of Foreign Exchange in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SAFE Circular 19” refers to the Notice of the State Administration of Foreign Exchange on Reforming the Administration of Foreign Exchange Settlement of Capital of Foreign-invested Enterprises;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SAFE Circular 37” refers to the Circular on Relevant Issues Concerning Foreign Exchange Control on Domestic Residents’ Offshore Investment and Financing and Roundtrip Investment Through Special Purpose Vehicles;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SAIC” refers to State Administration for Industry and Commerce in China and currently known as State Administration for Market Regulation; </w:t>
            </w:r>
          </w:p>
        </w:tc>
      </w:tr>
    </w:tbl>
    <w:p>
      <w:pPr>
        <w:pStyle w:val="TextBody"/>
        <w:bidi w:val="0"/>
        <w:jc w:val="both"/>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170"/>
        <w:gridCol w:w="5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pPr>
            <w:r>
              <w:rPr/>
              <w:t>“</w:t>
            </w:r>
            <w:r>
              <w:rPr/>
              <w:t>SAT” refers to PRC State Taxation Administration;</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SAMR” refers to the former State of Administration of Industry and Commerce of China, which has been merged into the State Administration for Market Regulation;</w:t>
            </w:r>
          </w:p>
        </w:tc>
      </w:tr>
    </w:tbl>
    <w:p>
      <w:pPr>
        <w:pStyle w:val="TextBody"/>
        <w:bidi w:val="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420" w:type="dxa"/>
            <w:tcBorders/>
            <w:vAlign w:val="center"/>
          </w:tcPr>
          <w:p>
            <w:pPr>
              <w:pStyle w:val="TableContents"/>
              <w:bidi w:val="0"/>
              <w:spacing w:before="0" w:after="283"/>
              <w:jc w:val="both"/>
              <w:rPr/>
            </w:pPr>
            <w:r>
              <w:rPr/>
              <w:t>“</w:t>
            </w:r>
            <w:r>
              <w:rPr/>
              <w:t>SCNPC” refers to the Standing Committee of the National People’s Congress of China;</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shares”, “Shares” or “Ordinary Shares” refers to Class A Ordinary Shares and Class B Ordinary Shares.</w:t>
            </w:r>
          </w:p>
        </w:tc>
      </w:tr>
    </w:tbl>
    <w:p>
      <w:pPr>
        <w:pStyle w:val="TextBody"/>
        <w:bidi w:val="0"/>
        <w:jc w:val="both"/>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75"/>
        <w:gridCol w:w="170"/>
        <w:gridCol w:w="83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45" w:type="dxa"/>
            <w:tcBorders/>
            <w:vAlign w:val="center"/>
          </w:tcPr>
          <w:p>
            <w:pPr>
              <w:pStyle w:val="TableContents"/>
              <w:bidi w:val="0"/>
              <w:spacing w:before="0" w:after="283"/>
              <w:jc w:val="both"/>
              <w:rPr/>
            </w:pPr>
            <w:r>
              <w:rPr/>
              <w:t>“</w:t>
            </w:r>
            <w:r>
              <w:rPr/>
              <w:t>U.S. dollars,” “dollars,” “USD” or “$” refers to the legal currency of the United States;</w:t>
            </w:r>
          </w:p>
        </w:tc>
      </w:tr>
    </w:tbl>
    <w:p>
      <w:pPr>
        <w:pStyle w:val="TextBody"/>
        <w:bidi w:val="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pPr>
            <w:r>
              <w:rPr/>
              <w:t>“</w:t>
            </w:r>
            <w:r>
              <w:rPr/>
              <w:t xml:space="preserve">U.S. GAAP” refers to generally accepted accounting principles in the United States;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BVI” refers to ZJK Enterprises Group (BVI) Company Limited, a company incorporated in the British Virgin Islands and wholly-owned by Zhongjinke;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Zhongke Components” refers to Zhongke Precision Components (Guangdong) Co., Ltd., a company incorporated in the PRC and wholly-owned by Zhongjinke Shenzhen;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HK” refers to ZJK Industrial Group HongKong Limited, a company incorporated in Hong Kong and wholly-owned by Zhongjinke BVI;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 xml:space="preserve">Zhongjinke Nanjing” refers to Nanjing Zhongjinke Hardware Products Co., Ltd., a company incorporated in the PRC and 51% of the shares owned by Zhongjinke Shenzhen;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Zhongjinke WFOE” refers to Zhongke Chuangwei (Shenzhen) International Holdings Limited, a company incorporated in the PRC and wholly-owned by Zhongjinke HK; and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t>
            </w:r>
            <w:r>
              <w:rPr/>
              <w:t>Zhongjinke Shenzhen” refers to Shenzhen Zhongjinke Hardware Products Co., Ltd, a company incorporated in the PRC, and 99.225% of the shares owned by Zhongjinke WFOE and 0.775% of the shares owned by Galaxy Exploration.</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iv</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CAUTIONARY NOTE REGARDING FORWARD-LOOKING STATEMENTS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 applicable prospectus supplement, and our SEC filings that are incorporated by reference into this prospectus contain or incorporate by reference forward-looking statements within the meaning of Section 27A of the Securities Act of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v</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Prospectus Summary</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Corporate Structure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 (“Zhongjinke,” the “Company”) is a holding company incorporated in the Cayman Islands as an exempted company with limited liability on May 11, 2022. We have no material operations of our own, and conducts substantially all of our operations through Shenzhen Zhongjinke Hardware Products Co., Ltd., which we refer to as “Zhongjinke Shenzhen,” Zhongke Precision Components (Guangdong) Co., Ltd. and our other subsidiaries. We, through operating through the consolidated subsidiaries in the People’s Republic of China (the “PRC” or “China”), are a high-tech enterprise specialized in manufacturing and sale of precision fasteners, structural parts and other precision metal parts products applied in intelligent electronic equipment and new energy vehicles. With about twelve-year involvement in precision metal parts manufacturing industry, we have a professional team, a series of highly automated and precise manufacturing equipment, stable and strong customer group, and complete quality management systems. We mainly offer: (i) standard screws; (ii) precision screws and nuts; (iii) high-strength bolts and nuts; (iv) turning and Computer Numerical Control machining parts; (v) Surface Mounting Technology for miniature parts packaging; (vi) technology service for research and development from professional engineering team. Our headquarter is located in Shenzhen,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our initial public offering and listed our ordinary shares on the Nasdaq Capital Market under the symbol “ZJK.” We raised approximately US$6.91 million in gross proceeds from the issuance of new shares from the initial public offering (“IPO”) and partial exercise of over-allotment option prior to deducting underwriting discounts, commissions and expenses.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 extraordinary general meeting held on March 6, 2026, the shareholders of the Company approved the introduction of two classes of ordinary shares, designated as Class A and Class B. The Company’s Class A Ordinary Shares began trading on the Nasdaq Capital Market at the open of business on March 17, 2026, continuing under the ticker symbol “ZJK.” As a result of share capital reorganization, the Company’s authorized share capital now consists of US$50,000 divided into 2,991,000,000 Class A Ordinary Shares and 9,000,000 Class B Ordinary Shares, each with a par value of US$0.000016666667. The rights attached to the new share classes are materially identical to those previous ordinary shares save that: (i) holders of Class B Ordinary Shares are entitled to thirty (30) votes per share on all matters decided by poll at any general meeting, and (ii) Class B Ordinary Shares are convertible into Class A Ordinary Shares at the option of the holder thereof on a one-for-one basis.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No.8, Jingqiang Road, 138 Industrial Zone, Xiuxin Community, Kengzi Town, Pingshan New Area, Shenzhen, PRC. Our telephone number at this address is +86-0755-28341175. Our agent for service of process in the United States is Cogency Global Inc, located at 122 E 42nd St., 18th Floor, New York, NY 10168.</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including our principal subsidiaries, consolidated affiliated entities and subsidiaries of consolidated affiliated entities as of the date of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4610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610100"/>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No.8, Jingqiang Road, 138 Industrial Zone, Xiuxin Community, Kengzi Town, Pingshan New Area, Shenzhen, PRC. Our telephone number at this address is +86-0755-28341175. Our agent for service of process in the United States is Cogency Global Inc, located at 122 E 42nd St., 18th Floor, New York, NY 10168.</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through our consolidated subsidiaries in the PRC, we are a high-tech enterprise specialized in manufacturing and sale of precision fasteners, structural parts and other precision metal parts products for new energy vehicles and intelligent electronic equipment, such as mobile phones, smart watches, drones, and 5G communication base stations.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involvement in the precision metal parts manufacturing industry started since the establishment of Shenzhen Zhongjinke Hardware Products Co., Ltd in 2011. Our manufacturing technology and experience have been growing steadily in the past 14 years, and we have a professional team consisting of 403 employees as of April 15, 2025. We produced approximately 4.40 billion and 5.7 billion precision metal parts for the fiscal years ended December 31, 2023 and 2024, respectively. We have obtained 57 patents from China National Intellectual Property Administration as of April 15, 2025. With a series of precise and highly-automated processing equipment and high-precision testing instruments, including automatic high-speed cold heading machine, high-speed rolling machine, metal turning lathe, computer numerical-control lathe, high-speed precise punching machine and optical screening machine, we have control over processing quality, accuracy and yield rate. We have adopted ISO 9001:2015 quality management system, ISO 14001:2015 environmental management system, IATF 16949:2016 automobile quality management system and ISO 45001:2018 occupational health management system accredited by the International Organization for Standardization.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technology, product quality and ability to develop new products, we became a supplier for some well-known enterprises and their original equipment manufacturers (“OEMs”) in industries of consumer electronics, new energy vehicles and other fields. To customize the products to the needs of the customers, we connect with our customers from the very beginning, including the research and development (“R&amp;D”) process, and cooperate with customers to design the overall product plans. In recent years, the Company has continuously paid efforts to expand our R&amp;D team and increase our R&amp;D expenses, to improve our technology used in the manufacturing process and product design.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 direct sales model and the sales department is responsible for customer contact, product sales, after-sales services and customer maintenance. We have both China-based and overseas sales teams in North America, and we expanded our business in North America through entering into sales representative contracts with 7 sales representative teams who will sell and promote our products in North America. In addition, the Company has established a factory in Vietnam in April 2024. We use a direct sales model and the sales department is responsible for customer contact, product sales, after-sales services and customer maintenance. We have both China-based and overseas sales teams in North America, and we expanded our business in North America through entering into sales representative contracts with 7 sales representative teams who will sell and promote our products in North America. In addition, the Company has established a factory in Vietnam in 2023 and will expand sales channels in U.S. and plan to set up a factory in the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significant risks. You should carefully consider all of the information in this prospectus before making an investment in our securities. Below please find a summary of the principal risks we face, organized under relevant headings. These risks are discussed more fully under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business and industry include, but are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operate in a competitive industry. If we are unable to compete successfully, we may lose market share to our competitors.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Any disruption in the supply chain of raw materials and our products could adversely impact our ability to produce and deliver products.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may incur material losses and costs as a result of product liability, recall and warranty claims brought against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If we fail to protect our intellectual property rights, it could harm our business and competitive position.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Failure to manage our growth could strain our management, operational and other resources, which could materially and adversely affect our business and prospects.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Operating Entities are based in mainland China and the majority of our operations are conducted in China by our PRC Operating Entities, so we face risks and uncertainties related to doing business in China in general,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PRC laws and regulations governing our current business operations may be revised from time to time with respect to the PRC legal system, such revision or changes in laws and regulations in China could have a material adverse effect on us.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Changes in China’s economic, political or social conditions or government policies, which could occur quickly, could have a material adverse effect on our business and operations.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transfer of funds, dividends and other distributions between us and our entities is subject to restriction.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To the extent any funds or assets in the business is in mainland China or Hong Kong or a mainland China or Hong Kong entity, the funds or assets may not be available to fund operations or for other use outside of mainland China or Hong Kong.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We must remit the offering proceeds to our PRC Operating Entities before they may be used to benefit our business in China, the process of which may be time-consuming, and we cannot assure that we can finish all necessary governmental registration processes in a timely manner.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You may experience difficulties in effecting service of legal process, enforcing foreign judgments or bringing original actions against us in China, Hong Kong or other foreign jurisdictions, and the ability of U.S. authorities to bring actions in foreign jurisdictions may also be limited.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PRC regulations relating to the establishment of offshore special purpose companies by PRC residents may subject our PRC resident beneficial owners or our PRC Operating Entities to liability or penalties, limit our ability to inject capital into our PRC Entities, limit our PRC Entities’ ability to increase their registered capital or distribute profits to us, or may otherwise adversely affect us.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Vietnam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Precision Vietnam is based in Vietnam, so we face risks and uncertainties related to doing business in Vietnam in general, including, but not limited to,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economy in Vietnam may be subject to periods of high inflation which could materially and adversely affect our business, financial operation and results of operations and growth prospects.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Changes in the economic, political and legal environment of Vietnam, and Vietnam’s less developed legal system, may adversely affect our business, financial condition and results of operations.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general risks and uncertainties related to our Class A Ordinary Shares, including, but not limited to, the following: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
        <w:gridCol w:w="189"/>
        <w:gridCol w:w="9922"/>
      </w:tblGrid>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Our dual class structure may be dilutive to the voting power of Class A Ordinary Shareholders.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pPr>
            <w:r>
              <w:rPr/>
              <w:t xml:space="preserve">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pPr>
            <w:r>
              <w:rPr>
                <w:rFonts w:ascii="Times New Roman;Times;Serif" w:hAnsi="Times New Roman;Times;Serif"/>
                <w:sz w:val="20"/>
              </w:rPr>
              <w:t>Concentration of voting power allows certain shareholders to exert significant control and prevent actions favored by other shareholders.</w:t>
            </w:r>
            <w:r>
              <w:rPr/>
              <w:t xml:space="preserve">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pPr>
            <w:r>
              <w:rPr/>
              <w:t xml:space="preserve">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market price for the Class A Ordinary Shares may be volatile. The trading prices of the Class A Ordinary Shares are likely to be volatile and could fluctuate widely due to factors beyond our control.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pPr>
            <w:r>
              <w:rPr/>
              <w:t xml:space="preserve">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pPr>
            <w:r>
              <w:rPr/>
              <w:t xml:space="preserve">  </w:t>
            </w:r>
          </w:p>
        </w:tc>
      </w:tr>
      <w:tr>
        <w:trPr/>
        <w:tc>
          <w:tcPr>
            <w:tcW w:w="94" w:type="dxa"/>
            <w:tcBorders/>
            <w:vAlign w:val="center"/>
          </w:tcPr>
          <w:p>
            <w:pPr>
              <w:pStyle w:val="TableContents"/>
              <w:bidi w:val="0"/>
              <w:spacing w:before="0" w:after="283"/>
              <w:jc w:val="both"/>
              <w:rPr/>
            </w:pPr>
            <w:r>
              <w:rPr/>
              <w:t xml:space="preserve">  </w:t>
            </w:r>
          </w:p>
        </w:tc>
        <w:tc>
          <w:tcPr>
            <w:tcW w:w="189" w:type="dxa"/>
            <w:tcBorders/>
            <w:vAlign w:val="center"/>
          </w:tcPr>
          <w:p>
            <w:pPr>
              <w:pStyle w:val="TableContents"/>
              <w:bidi w:val="0"/>
              <w:spacing w:before="0" w:after="283"/>
              <w:jc w:val="both"/>
              <w:rPr/>
            </w:pPr>
            <w:r>
              <w:rPr/>
              <w:t xml:space="preserve">● </w:t>
            </w:r>
          </w:p>
        </w:tc>
        <w:tc>
          <w:tcPr>
            <w:tcW w:w="9922" w:type="dxa"/>
            <w:tcBorders/>
            <w:vAlign w:val="center"/>
          </w:tcPr>
          <w:p>
            <w:pPr>
              <w:pStyle w:val="TableContents"/>
              <w:bidi w:val="0"/>
              <w:spacing w:before="0" w:after="283"/>
              <w:jc w:val="both"/>
              <w:rPr/>
            </w:pPr>
            <w:r>
              <w:rPr>
                <w:rFonts w:ascii="Times New Roman;Times;Serif" w:hAnsi="Times New Roman;Times;Serif"/>
                <w:sz w:val="20"/>
              </w:rPr>
              <w:t>As a “controlled company” under the rules of the Nasdaq Capital Market, we may choose to exempt our company from certain corporate governance requirements that could have an adverse effect on our public shareholders.</w:t>
            </w:r>
            <w:r>
              <w:rPr/>
              <w:t xml:space="preserv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Permissions Required from PRC Authorities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initiated a series of regulatory actions and statements to regulate activities in the overseas securities listing in China, including cracking down on illegal activities in the securities market, enhancing supervision over China-based companies listed overseas using a variable interest entity structure. On February 17, 2023, the China Securities Regulatory Commission (“CSRC”) released the Trial Administrative Measures of Overseas Securities Offering and Listing by Domestic Companies, or the Overseas Listing Trial Measures, and five supporting guidelines, which have come into effect on March 31, 2023. The Overseas Listing Trial Measures will regulate both direct and indirect overseas offering and listing by PRC domestic companies by adopting a filing-based regulatory regime. Pursuant to the Overseas Listing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 Domestic companies may also be required to file with the CSRC within 3 working days after any of our future issuance of securities on Nasdaq Capital Market including follow-on offerings, issuance of convertible bonds, depositary receipts, or other securities with equity characteristics. On February 24, 2023, CSRC published the Provisions on Strengthening the Confidentiality and Archives Administration Related to the Overseas Securities Offering and Listing by Domestic Enterprises, or the Provisions on Confidentiality and Archives Administration, which came into effect on March 31, 2023. The Provisions on Confidentiality and Archives Administration requires that, in the process of overseas issuance and listing of securities by domestic entities, the domestic entities, and securities companies and securities service institutions that provide relevant securities service shall strictly implement the provisions of relevant laws and regulations and the requirements of these provisions, establish and improve rules on confidentiality and archives administration. For details, see “</w:t>
      </w:r>
      <w:r>
        <w:rPr>
          <w:rFonts w:ascii="Times New Roman;Times;Serif" w:hAnsi="Times New Roman;Times;Serif"/>
          <w:b w:val="false"/>
          <w:i/>
          <w:caps w:val="false"/>
          <w:smallCaps w:val="false"/>
          <w:sz w:val="20"/>
        </w:rPr>
        <w:t>Item 3. Key Information—D. Risk Factors — Risks Related to Doing Business in China — The approval of and the filing with the CSRC or other PRC government authorities may be required in connection with our future offshore offerings under PRC law, and, if required, we cannot predict whether or for how long we will be able to obtain such approval or complete such filing</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PRC regulatory requirements regarding cybersecurity are evolving, including adopting new measures to extend the scope of cybersecurity reviews. As confirmed by our PRC counsel, we will not be subject to cybersecurity review with the Cyberspace Administration of China, or the “CAC,” after the Measures for Cybersecurity Review (the “Cybersecurity Review Measures”) became effective on February 15, 2022, considering that (i) we currently do not have personal information of more than one million people and do not anticipate that we will be collecting over one million people’s personal information in the foreseeable future, (ii) we have not been identified as a “critical information infrastructure operator” by any government authorities, and (iii) we have not received any notification of cybersecurity review from relevant governmental authorities due to our impact or potential impact on national security. For more detailed information, see “</w:t>
      </w:r>
      <w:r>
        <w:rPr>
          <w:rFonts w:ascii="Times New Roman;Times;Serif" w:hAnsi="Times New Roman;Times;Serif"/>
          <w:b w:val="false"/>
          <w:i/>
          <w:caps w:val="false"/>
          <w:smallCaps w:val="false"/>
          <w:sz w:val="20"/>
        </w:rPr>
        <w:t>Item 3. Key Information—D. Risk Factors — Risks Related to Doing Business in China — In light of recent events indicating greater oversight by the Cyberspace Administration of China (the “CAC”) over data security, we may be subject to a variety of PRC laws and other obligations regarding cybersecurity and data protection, and any failure to comply with applicable laws and obligations could have a material adverse effect on our business, our listing on the Nasdaq Capital Market, financial condition, results of operations, and future offerings</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on a national exchange or “over-the-counter” markets under the Holding Foreign Companies Accountable Act (the “HFCAA”) if the Public Company Accounting Oversight Board (“PCAOB”) determines it is unable to inspect or fully investigate our auditor and as a result the exchange where our securities are traded may delist our securities. Furthermore, on June 22, 2021, the U.S. Senate passed the Accelerating Holding Foreign Companies Accountable Act (the “AHFCAA”), which was signed into law on December 29, 2022, amending the HFCAA and requiring the SEC to prohibit an issuer’s securities from trading on any U.S. stock exchange if its auditor is not subject to PCAOB inspections for two consecutive instead of three consecutive years. Pursuant to the HFCAA, the PCAOB issued a Determination Report on December 16, 2021, which found it was unable to inspect or investigate completely certain named registered public accounting firms headquartered in mainland China and Hong Kong. Our independent registered public accounting firm, HTL International, LLC (“HTL”), is headquartered at 12 Greenway Plaza Suite 1100 Houston, TX 77046, and is subject to inspection by the PCAOB on a regular basis and as such, it is not affected by or subject to the PCAOB’s Determination Report. On August 26, 2022, the SEC issued a statement announcing that the PCAOB signed a Statement of Protocol with the CSRC and the Ministry of Finance of the PRC governing inspections and investigations of audit firms based in China and Hong Kong. On December 15, 2022, the PCAOB announced that it secured complete access to inspect and investigate registered public accounting firms headquartered in mainland China and Hong Kong and voted to vacate the 2021 Determination Report to the contrary.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For details, see “</w:t>
      </w:r>
      <w:r>
        <w:rPr>
          <w:rFonts w:ascii="Times New Roman;Times;Serif" w:hAnsi="Times New Roman;Times;Serif"/>
          <w:b w:val="false"/>
          <w:i/>
          <w:caps w:val="false"/>
          <w:smallCaps w:val="false"/>
          <w:sz w:val="20"/>
        </w:rPr>
        <w:t>Item 3. Key Information—D. Risk Factors — Risks Related to Doing Business in China — The newly enacted “HFCAA” and “AHFCAA” both call for additional and more stringent criteria to be applied to restrictive market companies upon assessing the qualification of their auditors, especially the non-U.S. auditors who are not inspected by the PCAOB. These developments could add uncertainties to our offering and if our auditors fail to permit the PCAOB to inspect the auditing firm, our Ordinary Shares may be subject to delisting</w:t>
      </w:r>
      <w:r>
        <w:rPr>
          <w:rFonts w:ascii="Times New Roman;Times;Serif" w:hAnsi="Times New Roman;Times;Serif"/>
          <w:b w:val="false"/>
          <w:i w:val="false"/>
          <w:caps w:val="false"/>
          <w:smallCaps w:val="false"/>
          <w:sz w:val="20"/>
        </w:rPr>
        <w:t>” in the 2024 Annual Report, which is incorporated by reference into this prospectus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RISK FACTORS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making an investment decision, you should carefully consider the risks described under “Risk Factors” in the applicable prospectus supplement and under the heading “</w:t>
      </w:r>
      <w:r>
        <w:rPr>
          <w:rFonts w:ascii="Times New Roman;Times;Serif" w:hAnsi="Times New Roman;Times;Serif"/>
          <w:b w:val="false"/>
          <w:i/>
          <w:caps w:val="false"/>
          <w:smallCaps w:val="false"/>
          <w:sz w:val="20"/>
        </w:rPr>
        <w:t>Item 3. Key Information—D. Risk Factors</w:t>
      </w:r>
      <w:r>
        <w:rPr>
          <w:rFonts w:ascii="Times New Roman;Times;Serif" w:hAnsi="Times New Roman;Times;Serif"/>
          <w:b w:val="false"/>
          <w:i w:val="false"/>
          <w:caps w:val="false"/>
          <w:smallCaps w:val="false"/>
          <w:sz w:val="20"/>
        </w:rPr>
        <w:t>” in the 2024 Annual Report, which is incorporated in this prospectus by reference, together with any other information appearing or incorporated by reference in this prospectus and in any accompanying prospectus supplement, in light of your particular investment objectives and financial circumstances. In addition to those risk factors, there may be additional risks and uncertainties of which our management is unaware or deems immaterial. Our business, financial condition, or results of operations could be materially and adversely affected by any of these risks. The trading price of our securities could decline due to any of these risks, and you may lose all or part of your investment.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not a Chinese operating company but a Cayman Islands holding company. We have no material operations of our own and conduct substantially all of the operations through the operating entities in China. Investors are purchasing equity interests in the Cayman Islands holding company, and not in the PRC operating entities. Investors may never hold equity interests in the PRC operating entities. We hold 100% equity interests in the operating entities in China, and we do not use a VIE structure. Our operating structure involves unique risks to investors. The Chinese regulatory authorities could disallow our operating structure, which would likely result in a material change in our operations and/or a material change in the value of our Class A Ordinary Shares, and could cause the value of our Class A Ordinary Shares to significantly decline or become worthless.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dual class structure may be dilutive to the voting power of Class A Ordinary Shareholders.</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6, 2026, at the extraordinary general meeting, to implement a dual class structure, our shareholders approved a special resolution to amend and restate the Company’s then-effective Memorandum and Articles of Association to reflect the revised authorized share structure of the Company and the terms of the Class A ordinary shares and Class B ordinary shares.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Class A Ordinary Shares and Class B Ordinary Shares have the same rights except for voting and conversion rights. In respect of matters requiring a shareholder vote by way of poll, each holder of Class A Ordinary Shares will be entitled to one vote per one Class A Ordinary Share and each holder of Class B Ordinary Shares will be entitled to 30 votes per one Class B Ordinary Share. The Class A Ordinary Shares are not convertible into shares of any other class. The Class B Ordinary Shares are convertible into Class A Ordinary Shares at any time after issuance at the option of the holder on a one-to-one basis.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dual class structure of our ordinary shares has the effect of concentrating voting control with holders of Class B Ordinary Shares. Our Class B Ordinary Shares have stronger voting power than our Class A Ordinary Shares and certain existing shareholders have substantial influence over our Company and their interests may not be aligned with the interests of our other shareholders.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Concentration of voting power allows certain shareholders to exert significant control and prevent actions favored by other shareholders.</w:t>
      </w:r>
      <w:r>
        <w:rPr>
          <w:rFonts w:ascii="Times New Roman;Times;Serif" w:hAnsi="Times New Roman;Times;Serif"/>
          <w:b w:val="false"/>
          <w:i w:val="false"/>
          <w:caps w:val="false"/>
          <w:smallCaps w:val="false"/>
          <w:sz w:val="20"/>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our Chief Executive Officer, Director, and Chairman of the Board of Directors, Ning Ding, beneficially owns 58.48% our issued and outstanding Class A Ordinary Shares and 66.67% of our issued and outstanding Class B Ordinary Shares; our Chief Financial Officer and Director, Kai Huang beneficially owns 14.14% our issued and outstanding Class A Ordinary Shares and 20.00% of our issued and outstanding Class B Ordinary Shares. As a result, Ning Ding and Kai Huang beneficially own approximately 65.27% and 19.00%, respectively, of the aggregate voting power of our issued and outstanding shares As a result, these shareholders will have significant influence over all matters that require approval by our shareholders, including the appointment and removal of directors and approval of certain significant corporate transactions. Corporate action might be taken even if other shareholders oppose them. This concentration of ownership might also have the effect of delaying or preventing a change of control of our Company that other shareholders may view as beneficial. </w:t>
      </w:r>
    </w:p>
    <w:p>
      <w:pPr>
        <w:pStyle w:val="TextBody"/>
        <w:bidi w:val="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OFFER STATISTICS AND EXPECTED TIMETABLE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up to a total dollar amount of $300,000,000 in one or more offerings. The securities offered under this prospectus may be offered separately, together, or in separate series, and in amounts, at prices, and on terms to be determined at the time of sale. We will keep the registration statement of which this prospectus is a part effective until such time as all of the securities covered by this prospectus have been disposed of pursuant to such registration statement.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CAPITALIZATION AND INDEBTEDNESS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DILUTION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net tangible book value per share of our equity securities before and after the offering;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amount of the increase in such net tangible book value per share attributable to the cash payments made by purchasers in the offering; and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 xml:space="preserve">the amount of the immediate dilution from the public offering price which will be absorbed by such purchasers.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USE OF PROCEEDS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securities we offer as indicated in the applicable prospectus supplement, information incorporated by reference, or free writing prospectus.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SHARE CAPITAL</w:t>
      </w:r>
    </w:p>
    <w:p>
      <w:pPr>
        <w:pStyle w:val="TextBody"/>
        <w:bidi w:val="0"/>
        <w:jc w:val="center"/>
        <w:rPr>
          <w:caps w:val="false"/>
          <w:smallCaps w:val="false"/>
        </w:rPr>
      </w:pPr>
      <w:r>
        <w:rPr>
          <w:caps w:val="false"/>
          <w:smallCaps w:val="false"/>
        </w:rPr>
        <w:t xml:space="preserve">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authorized share capital is $50,000 divided into 2,991,000,000 Class A ordinary shares of par value $0.000016666667 each and 9,000,000 Class B ordinary shares of par value $0.000016666667 each.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the amended and restated memorandum and articles of association that shareholders have been asked to approve as part of the Recapitalization (the “Memorandum and Articles”) and the Companies Act (Revised) of the Cayman Islands (the “Cayman Companies Act”), insofar as they relate to the material terms of our Ordinary Shares. The summaries do not purport to be complete and are qualified in their entirety by reference to the Memorandum and Articles, which are filed as an exhibit to this registration statement.</w:t>
      </w:r>
    </w:p>
    <w:p>
      <w:pPr>
        <w:pStyle w:val="TextBody"/>
        <w:shd w:fill="FFFFFF" w:val="clear"/>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as an exempted company with limited liability under the Cayman Companies Act on May 11, 2022. Our affairs are governed by our Memorandum and Articles, the Cayman Companies Act and the common laws of Cayman Islands.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Cayman Islands exempted company: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 a company the objects of which are to be carried out mainly outside the Cayman Islands or pursuant to a licence to carry on business in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 prohibited from trading in the Cayman Islands with any person, firm or corporation except in furtherance of the business of the exempted company carried on outside the Cayman Islands, unless that exempted company holds a licence to carry on business in the Islands under any applicable law;</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0"/>
        <w:gridCol w:w="265"/>
        <w:gridCol w:w="9860"/>
      </w:tblGrid>
      <w:tr>
        <w:trPr/>
        <w:tc>
          <w:tcPr>
            <w:tcW w:w="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does not have to make its register of members open to inspection by shareholders of that company (unless it holds a licence to carry on business in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may obtain an undertaking against the imposition of any future taxation;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270"/>
        <w:gridCol w:w="9853"/>
      </w:tblGrid>
      <w:tr>
        <w:trPr/>
        <w:tc>
          <w:tcPr>
            <w:tcW w:w="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Symbol" w:hAnsi="Symbol"/>
              </w:rPr>
            </w:pPr>
            <w:r>
              <w:rPr>
                <w:rFonts w:ascii="Symbol" w:hAnsi="Symbol"/>
              </w:rPr>
              <w:t>·</w:t>
            </w:r>
          </w:p>
        </w:tc>
        <w:tc>
          <w:tcPr>
            <w:tcW w:w="9853"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271"/>
        <w:gridCol w:w="9852"/>
      </w:tblGrid>
      <w:tr>
        <w:trPr/>
        <w:tc>
          <w:tcPr>
            <w:tcW w:w="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rPr>
            </w:pPr>
            <w:r>
              <w:rPr>
                <w:rFonts w:ascii="Symbol" w:hAnsi="Symbol"/>
              </w:rPr>
              <w:t>·</w:t>
            </w:r>
          </w:p>
        </w:tc>
        <w:tc>
          <w:tcPr>
            <w:tcW w:w="9852" w:type="dxa"/>
            <w:tcBorders/>
            <w:vAlign w:val="center"/>
          </w:tcPr>
          <w:p>
            <w:pPr>
              <w:pStyle w:val="TableContents"/>
              <w:bidi w:val="0"/>
              <w:spacing w:before="0" w:after="283"/>
              <w:jc w:val="both"/>
              <w:rPr/>
            </w:pPr>
            <w:r>
              <w:rPr/>
              <w:t>may register as a segregated portfolio company.</w:t>
            </w:r>
          </w:p>
        </w:tc>
      </w:tr>
    </w:tbl>
    <w:p>
      <w:pPr>
        <w:pStyle w:val="TextBody"/>
        <w:bidi w:val="0"/>
        <w:ind w:left="72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jc w:val="both"/>
        <w:rPr>
          <w:caps w:val="false"/>
          <w:smallCaps w:val="false"/>
        </w:rPr>
      </w:pPr>
      <w:r>
        <w:rPr>
          <w:caps w:val="false"/>
          <w:smallCaps w:val="false"/>
        </w:rPr>
        <w:t xml:space="preserve">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authorized share capital is $50,000 divided into 2,991,000,000 Class A ordinary shares of par value $0.000016666667 each and 9,000,000 Class B ordinary shares of par value $0.000016666667 each. Holders of Class A Ordinary Shares and Class B Ordinary Shares have the same rights except for voting and conversion rights. In respect of matters requiring a shareholder vote by way of poll, each holder of Class A Ordinary Shares will be entitled to one vote per one Class A Ordinary Share and each holder of Class B Ordinary Shares will be entitled to 30 votes per one Class B Ordinary Share. The Class A Ordinary Shares are not convertible into shares of any other class. The Class B Ordinary Shares are convertible into Class A Ordinary Shares at any time after issuance at the option of the holder on a one-to-one basis.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and Class B Ordinary Shares are issued in registered form, and are issued when registered in our register of members. Unless the board of directors determine otherwise, each holder of our Class A Ordinary Shares or Class B Ordinary Shares will not receive a certificate in respect of such shares. Our shareholders who are non-residents of the Cayman Islands may freely hold and vote their Class A Ordinary Shares and Class B Ordinary Shares. </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articles regarding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Cayman Companies Act. The directors may refuse to accept any application for shares, and may accept any application in whole or in part, for any reason or for no reason.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any rights attaching to any class or classes of shares under and in accordance with our articles of association: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(a)</w:t>
            </w:r>
          </w:p>
        </w:tc>
        <w:tc>
          <w:tcPr>
            <w:tcW w:w="9903" w:type="dxa"/>
            <w:tcBorders/>
            <w:vAlign w:val="center"/>
          </w:tcPr>
          <w:p>
            <w:pPr>
              <w:pStyle w:val="TableContents"/>
              <w:bidi w:val="0"/>
              <w:spacing w:before="0" w:after="283"/>
              <w:jc w:val="both"/>
              <w:rPr/>
            </w:pPr>
            <w:r>
              <w:rPr/>
              <w:t>the directors may declare dividends or distributions out of our funds which are lawfully available for that purpose;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283"/>
              <w:jc w:val="both"/>
              <w:rPr/>
            </w:pPr>
            <w:r>
              <w:rPr/>
              <w:t>our shareholders may, by ordinary resolution, declare dividends but no such dividend shall exceed the amount recommended by the directors.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Cayman Companies Act regarding the application of a company’s share premium account and with the sanction of an ordinary resolution, dividends may also be declared and paid out of any share premium account. The directors when paying dividends to shareholders may make such payment either in cash or in specie.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by the rights attached to a share, no dividend shall bear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an Ordinary Share shall (in respect of such Ordinary Share) have the right to receive notice of, attend at and vote as a shareholder at any general meeting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at any meeting of shareholders is by show of hands unless a poll is demanded. A poll may be demanded by the chairperson of such meeting, by at least two shareholders having the right to vote on the resolutions or any one shareholder, present in person or by proxy, who, individually or collectively, hold at least ten per cent of the voting rights of all those who have a right to vote on the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Ordinary Shares shall, on a poll, be entitled to one vote for each Class A Ordinary Share he or she holds and each holder of Class B Ordinary Shares shall, on a poll, be entitled to exercise 30 votes for each Class B Ordinary Share he or she holds on any and all matters. On a show of hands, every shareholder shall have one vote.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vote in person or by proxy.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are convertible, at the option of the holder thereof, into Class A Ordinary Shares on a one-to-one basis. Class A Ordinary Shares are not convertible.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capital is divided into different classes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special resolution passed by a majority of not less than two-thirds of the holders of shares of the class present in person or by proxy at a separate general meeting of the holders of shares of that class.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terms on which a class of shares was issued state otherwise, the rights conferred on the shareholder holding shares of any class shall not be deemed to be varied by the creation or issue of further shares ranking pari passu with the existing shares of that class.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Alteration of Share Capital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we may, by ordinary resolution:</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increase our share capital by new shares of the amount fixed by that ordinary resolution and with the attached rights, priorities and privileges set out in that ordinary resolution;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consolidate and divide all or any of our share capital into shares of larger amount than our existing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convert all or any of our paid-up shares into stock, and reconvert that stock into paid up shares of any denomination;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sub-divide our shares or any of them into shares of an amount smaller than that fixed,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cancel shares which, at the date of the passing of that ordinary resolution, have not been taken or agreed to be taken by any person and diminish the amount of our share capital by the amount of the shares so cancelled or, in the case of shares without nominal par value, diminish the number of shares into which our capital is divided.</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to any rights for the time being conferred on the shareholders holding a particular class of shares, we may, by special resolution, reduce our share capital in any way.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Calls on Shares and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calls on the shareholders in respect of any monies unpaid on their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ten percent per annum. The directors may waive payment of the interest wholly or in part.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first and paramount lien on all shares (whether fully paid up or not) registered in the name of a shareholder (whether solely or jointly with others). The lien is for all monies payable to us by the shareholder or the shareholder’s estate: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292"/>
        <w:gridCol w:w="9873"/>
      </w:tblGrid>
      <w:tr>
        <w:trPr/>
        <w:tc>
          <w:tcPr>
            <w:tcW w:w="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(a)</w:t>
            </w:r>
          </w:p>
        </w:tc>
        <w:tc>
          <w:tcPr>
            <w:tcW w:w="9873" w:type="dxa"/>
            <w:tcBorders/>
            <w:vAlign w:val="center"/>
          </w:tcPr>
          <w:p>
            <w:pPr>
              <w:pStyle w:val="TableContents"/>
              <w:bidi w:val="0"/>
              <w:spacing w:before="0" w:after="283"/>
              <w:jc w:val="both"/>
              <w:rPr/>
            </w:pPr>
            <w:r>
              <w:rPr/>
              <w:t>either alone or jointly with any other person, whether or not that other person is a shareholder;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4"/>
        <w:gridCol w:w="568"/>
        <w:gridCol w:w="9563"/>
      </w:tblGrid>
      <w:tr>
        <w:trPr/>
        <w:tc>
          <w:tcPr>
            <w:tcW w:w="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pPr>
            <w:r>
              <w:rPr/>
              <w:t>(b)</w:t>
            </w:r>
          </w:p>
        </w:tc>
        <w:tc>
          <w:tcPr>
            <w:tcW w:w="9563" w:type="dxa"/>
            <w:tcBorders/>
            <w:vAlign w:val="center"/>
          </w:tcPr>
          <w:p>
            <w:pPr>
              <w:pStyle w:val="TableContents"/>
              <w:bidi w:val="0"/>
              <w:spacing w:before="0" w:after="283"/>
              <w:jc w:val="both"/>
              <w:rPr/>
            </w:pPr>
            <w:r>
              <w:rPr/>
              <w:t>whether or not those monies are presently payable.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directors may declare any share to be wholly or partly exempt from the lien on shares provisions of the amended and restated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in such manner as the directors may determine, any share on which the sum in respect of which the lien exists is presently payable, if due notice that such sum is payable has been given (as prescribed by our articles of association) and, within 14 days of the date on which the notice is deemed to be given under the amended and restated articles of association, such notice has not been complied with.</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Unclaimed Dividend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our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Forfeiture or Surrender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fails to pay any call, the directors may give to such shareholder not less than 14 clear days’ notice requiring payment and specifying the amount unpaid including any interest which may have accrued, any expenses which have been incurred by us due to that person’s default and the place where payment is to be made. The notice shall also contain a warning that if the notice is not complied with, the shares in respect of which the call is made will be liable to be forfeited.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notice is not complied with, the directors may, before the payment required by the notice has been received, resolve that any share the subject of that notice be forfeited (which forfeiture shall include all dividends or other monies payable in respect of the forfeited share and not paid before such forfeiture).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directors determine and at any time before a sale, re-allotment or disposition. The forfeiture may be cancelled on such terms as the directors think 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whose shares have been forfeited or surrendered shall cease to be a shareholder in respect of the forfeited or surrendered shares, but shall, notwithstanding such forfeiture or surrender, remain liable to pay to us all monies which at the date of forfeiture or surrender were payable by him to us in respect of the shares, together with all expenses and interest from the date of forfeiture or surrender until payment at the rate of which interest was payable on those monies before forfeiture; or if no interest was so payable, at the rate of 10% per annum, but his liability shall cease if and when we receive payment in full of the unpaid amount.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that the person making the declaration is a director or secretary of the Company and that the particular shares have been forfeited or surrendered on a particular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Premium Account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established a share premium account in accordance with the Cayman Companies Act, with the credit of such account from time to time equal to the amount or value of the premium paid on the issue of any share or capital contributed or such other amounts required by the Cayman Companies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and Purchase of Own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any rights for the time being conferred on the shareholders holding a particular class of shares, we may by action of our directors: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issue shares that are to be redeemed or liable to be redeemed, at our option or the shareholder holding those redeemable shares, on the terms and in the manner our directors determine before the issue of those shares;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43"/>
        <w:gridCol w:w="9925"/>
      </w:tblGrid>
      <w:tr>
        <w:trPr/>
        <w:tc>
          <w:tcPr>
            <w:tcW w:w="3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(c)</w:t>
            </w:r>
          </w:p>
        </w:tc>
        <w:tc>
          <w:tcPr>
            <w:tcW w:w="9925" w:type="dxa"/>
            <w:tcBorders/>
            <w:vAlign w:val="center"/>
          </w:tcPr>
          <w:p>
            <w:pPr>
              <w:pStyle w:val="TableContents"/>
              <w:bidi w:val="0"/>
              <w:spacing w:before="0" w:after="283"/>
              <w:jc w:val="both"/>
              <w:rPr/>
            </w:pPr>
            <w:r>
              <w:rPr/>
              <w:t>purchase all or any of our own shares of any class including any redeemable shares on the terms and in the manner which the directors determine at the time of such purchase.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a payment in respect of the redemption or purchase of its own shares in any manner authorized by the Cayman Companies Act, including out of any combination of capital, our profits and the proceeds of a fresh issue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convertible, at the option of the holder thereof, at any time after the date of issuance of such share, at the office of the Company or any transfer agent for such Shares, into one fully paid and non-assessable Class A Ordinary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at all times reserve and keep available out of the Company’s authorized but unissued Class A Ordinary Shares, solely for the purpose of effecting the conversion of the Class B Ordinary Shares, such number of its Class A Ordinary Shares as shall from time to time be sufficient to effect the conversion of all outstanding Class B Ordinary Shares; and if at any time the number of authorized but unissued Class A Ordinary Shares shall not be sufficient to effect the conversion of all then outstanding Class B Ordinary Shares, in addition to such other remedies as shall be available to the holders of such Class B Ordinary Shares, the directors will take such action as may be necessary to increase its authorized but unissued Class A Ordinary Shares to such number of Shares as shall be sufficient for such purposes.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conversions of Class B Ordinary Shares to Class A Ordinary Shares shall be effected by way of redemption or repurchase by the Company of the relevant Class B Ordinary Shares and the simultaneous issue of Class A Ordinary Shares in consideration for such redemption or repurchase. The shareholder and the Company will procure that any and all necessary corporate actions are taken to effect such conversion.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in our Articles, and provided that such transfer complies with applicable rules of the SEC, Nasdaq and federal and state securities laws of the United States, a shareholder may transfer shares in the Company to another person by completing an instrument of transfer in a common form or in a form prescribed by Nasdaq or in any other form approved by the directors, executed:</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97"/>
        <w:gridCol w:w="9754"/>
      </w:tblGrid>
      <w:tr>
        <w:trPr/>
        <w:tc>
          <w:tcPr>
            <w:tcW w:w="5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pPr>
            <w:r>
              <w:rPr/>
              <w:t>(a)</w:t>
            </w:r>
          </w:p>
        </w:tc>
        <w:tc>
          <w:tcPr>
            <w:tcW w:w="9754" w:type="dxa"/>
            <w:tcBorders/>
            <w:vAlign w:val="center"/>
          </w:tcPr>
          <w:p>
            <w:pPr>
              <w:pStyle w:val="TableContents"/>
              <w:bidi w:val="0"/>
              <w:spacing w:before="0" w:after="283"/>
              <w:jc w:val="both"/>
              <w:rPr/>
            </w:pPr>
            <w:r>
              <w:rPr/>
              <w:t>where the shares are fully paid, by or on behalf of that shareholder;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2"/>
        <w:gridCol w:w="327"/>
        <w:gridCol w:w="9836"/>
      </w:tblGrid>
      <w:tr>
        <w:trPr/>
        <w:tc>
          <w:tcPr>
            <w:tcW w:w="4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(b)</w:t>
            </w:r>
          </w:p>
        </w:tc>
        <w:tc>
          <w:tcPr>
            <w:tcW w:w="9836" w:type="dxa"/>
            <w:tcBorders/>
            <w:vAlign w:val="center"/>
          </w:tcPr>
          <w:p>
            <w:pPr>
              <w:pStyle w:val="TableContents"/>
              <w:bidi w:val="0"/>
              <w:spacing w:before="0" w:after="283"/>
              <w:jc w:val="both"/>
              <w:rPr/>
            </w:pPr>
            <w:r>
              <w:rPr/>
              <w:t>where the shares are nil or partly paid, by or on behalf of that shareholder and the transferee.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Class A Ordinary Share or Class B Ordinary Share until the name of the transferee is entered into the register of members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in their absolute discretion decline to register any transfer of shares at their discretion. If the shares in question were issued in conjunction with rights, options or warrants on terms that one cannot be transferred without the other, the directors shall refuse to register the transfer of any such share without evidence satisfactory to them of the like transfer of such option or warrant.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are required, within two months after the date on which the instrument of transfer was lodged, to send to each of the transferor and the transferee notice of such refusal.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however, is unlikely to affect market transactions of the Class A Ordinary Shares purchased by investors in the public offering. Once the Class A Ordinary Shares have been listed, the legal title to such Class A Ordinary Shares and the registration details of those Class A Ordinary Shares in our register of members will remain with DTC/Cede &amp; Co. All market transactions with respect to those Class A Ordinary Shares will then be carried out without the need for any kind of registration by the directors, as the market transactions will all be conducted through the DTC systems.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suspend registration of the transfer of Ordinary Shares at such times and for such periods, not exceeding 45 days in any calendar year, as they determine.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have no general rights under Cayman Islands law to inspect corporate records or to obtain copies of lists of shareholders of these companies (other than copies of our memorandum and articles of association, register of mortgages and charges, and any special resolutions passed by our shareholders). Under Cayman Islands law, the names of our current directors can be obtained from a search conducted at the Registrar of Companies. Pursuant to our articles of association, shareholders will not have any right to inspect any account or book or document of the Company except as conferred by Companies Act or as authorized by our directors or by ordinary resolution of our shareholders.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obligated by the Cayman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convene general meetings whenever they think fit. General meetings shall also be convened on the written requisition of one or more of the shareholders entitled to attend and vote at our general meetings who (together) hold not less than ten percent of the rights to vote at such general meeting in accordance with the notice provisions in the articles,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seven clear days' notice of any general meeting shall be given to shareholders entitled to attend and vote at such meeting. Among other things,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Cayman Companies Act and with the consent of the shareholders who, individually or collectively, hold at least 90 percent of the voting rights of all those who have a right to vote at a general meeting, a general meeting may be convened on shorter notice.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shall consist of the presence (whether in person or represented by proxy) of one or more shareholders holding shares that represent not less than a majority of the outstanding shares carrying the right to vote at such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 If a quorum is not present within 15 minutes of the time appointed for the adjourned meeting, then the shareholders present in person or by proxy shall constitute a quorum.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may, with the consent of a meeting at which a quorum is present, adjourn the meeting. When a meeting is adjourned for seven clear days or more, notice of the adjourned meeting shall be given in accordance with our amended and restated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a resolution put to the vote of the meeting shall be decided on a show of hands, unless a poll is (before, or on, the declaration of the result of the show of hands) demanded by the chairman of the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poll is duly demanded it shall be taken in such manner as the chairman directs and, on the question of adjournment, shall be taken immediately, and on any other question shall be taken either immediately or at an adjourned meeting at such time and place as directed by the chairman, but not being more than thirty clear days after the poll was demanded. The demand for a poll shall not prevent the meeting from continuing to transact any business other than the question on which the poll was demanded.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whether on a show of hands or on a poll, the chairman of the meeting at which the show of hands takes place or at which the poll is demanded, shall not be entitled to a second or casting vote.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 from time to time, fix the maximum and minimum number of directors to be appointed. Under our articles of association, we are required to have a minimum of one director and the maximum number of directors shall be unlimited.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appointed by ordinary resolution or by the directors. Any appointment may be to fill a vacancy or as an additional director.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remuneration of the directors is determined by the Company by ordinary resolution, the directors shall be entitled to such remuneration as the directors may determine.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shareholding qualification for directors may be fixed by ordinary resolution and unless and until so fixed no share qualification shall be required.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appointed shall hold office until such time as they resign, are removed from office by ordinary resolution or otherwise ceases to be eligible to be a director of the Company or have their office terminated in accordance with our articles of association.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or retire from office by giving us notice in writing. Unless the notice specifies a different date, the director shall be deemed to have resigned on the date that the notice is delivered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articles, the office of a director may be terminated forthwith if:</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77"/>
        <w:gridCol w:w="9776"/>
      </w:tblGrid>
      <w:tr>
        <w:trPr/>
        <w:tc>
          <w:tcPr>
            <w:tcW w:w="5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(a)</w:t>
            </w:r>
          </w:p>
        </w:tc>
        <w:tc>
          <w:tcPr>
            <w:tcW w:w="9776" w:type="dxa"/>
            <w:tcBorders/>
            <w:vAlign w:val="center"/>
          </w:tcPr>
          <w:p>
            <w:pPr>
              <w:pStyle w:val="TableContents"/>
              <w:bidi w:val="0"/>
              <w:spacing w:before="0" w:after="283"/>
              <w:jc w:val="both"/>
              <w:rPr/>
            </w:pPr>
            <w:r>
              <w:rPr/>
              <w:t>he is prohibited by the law of the Cayman Islands from acting as a director;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3"/>
        <w:gridCol w:w="335"/>
        <w:gridCol w:w="9827"/>
      </w:tblGrid>
      <w:tr>
        <w:trPr/>
        <w:tc>
          <w:tcPr>
            <w:tcW w:w="4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9827" w:type="dxa"/>
            <w:tcBorders/>
            <w:vAlign w:val="center"/>
          </w:tcPr>
          <w:p>
            <w:pPr>
              <w:pStyle w:val="TableContents"/>
              <w:bidi w:val="0"/>
              <w:spacing w:before="0" w:after="283"/>
              <w:jc w:val="both"/>
              <w:rPr/>
            </w:pPr>
            <w:r>
              <w:rPr/>
              <w:t>he is made bankrupt or makes an arrangement or composition with his creditors generally;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4"/>
        <w:gridCol w:w="753"/>
        <w:gridCol w:w="9348"/>
      </w:tblGrid>
      <w:tr>
        <w:trPr/>
        <w:tc>
          <w:tcPr>
            <w:tcW w:w="10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pPr>
            <w:r>
              <w:rPr/>
              <w:t>(c)</w:t>
            </w:r>
          </w:p>
        </w:tc>
        <w:tc>
          <w:tcPr>
            <w:tcW w:w="9348" w:type="dxa"/>
            <w:tcBorders/>
            <w:vAlign w:val="center"/>
          </w:tcPr>
          <w:p>
            <w:pPr>
              <w:pStyle w:val="TableContents"/>
              <w:bidi w:val="0"/>
              <w:spacing w:before="0" w:after="283"/>
              <w:jc w:val="both"/>
              <w:rPr/>
            </w:pPr>
            <w:r>
              <w:rPr/>
              <w:t>he resigns his office by notice to us;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421"/>
        <w:gridCol w:w="9729"/>
      </w:tblGrid>
      <w:tr>
        <w:trPr/>
        <w:tc>
          <w:tcPr>
            <w:tcW w:w="5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(d)</w:t>
            </w:r>
          </w:p>
        </w:tc>
        <w:tc>
          <w:tcPr>
            <w:tcW w:w="9729" w:type="dxa"/>
            <w:tcBorders/>
            <w:vAlign w:val="center"/>
          </w:tcPr>
          <w:p>
            <w:pPr>
              <w:pStyle w:val="TableContents"/>
              <w:bidi w:val="0"/>
              <w:spacing w:before="0" w:after="283"/>
              <w:jc w:val="both"/>
              <w:rPr/>
            </w:pPr>
            <w:r>
              <w:rPr/>
              <w:t>he only held office as a director for a fixed term and such term expires;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52"/>
        <w:gridCol w:w="9916"/>
      </w:tblGrid>
      <w:tr>
        <w:trPr/>
        <w:tc>
          <w:tcPr>
            <w:tcW w:w="3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283"/>
              <w:jc w:val="both"/>
              <w:rPr/>
            </w:pPr>
            <w:r>
              <w:rPr/>
              <w:t>in the opinion of a registered medical practitioner by whom he is being treated he becomes physically or mentally incapable of acting as a director;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(f)</w:t>
            </w:r>
          </w:p>
        </w:tc>
        <w:tc>
          <w:tcPr>
            <w:tcW w:w="9967" w:type="dxa"/>
            <w:tcBorders/>
            <w:vAlign w:val="center"/>
          </w:tcPr>
          <w:p>
            <w:pPr>
              <w:pStyle w:val="TableContents"/>
              <w:bidi w:val="0"/>
              <w:spacing w:before="0" w:after="283"/>
              <w:jc w:val="both"/>
              <w:rPr/>
            </w:pPr>
            <w:r>
              <w:rPr/>
              <w:t>he is given notice by the majority of the other directors (not being less than two in number) to vacate office (without prejudice to any claim for damages for breach of any agreement relating to the provision of the services of such director);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(g)</w:t>
            </w:r>
          </w:p>
        </w:tc>
        <w:tc>
          <w:tcPr>
            <w:tcW w:w="9884" w:type="dxa"/>
            <w:tcBorders/>
            <w:vAlign w:val="center"/>
          </w:tcPr>
          <w:p>
            <w:pPr>
              <w:pStyle w:val="TableContents"/>
              <w:bidi w:val="0"/>
              <w:spacing w:before="0" w:after="283"/>
              <w:jc w:val="both"/>
              <w:rPr/>
            </w:pPr>
            <w:r>
              <w:rPr/>
              <w:t>he is made subject to any law relating to mental health or incompetence, whether by court order or otherwise;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(h)</w:t>
            </w:r>
          </w:p>
        </w:tc>
        <w:tc>
          <w:tcPr>
            <w:tcW w:w="9888" w:type="dxa"/>
            <w:tcBorders/>
            <w:vAlign w:val="center"/>
          </w:tcPr>
          <w:p>
            <w:pPr>
              <w:pStyle w:val="TableContents"/>
              <w:bidi w:val="0"/>
              <w:spacing w:before="0" w:after="283"/>
              <w:jc w:val="both"/>
              <w:rPr/>
            </w:pPr>
            <w:r>
              <w:rPr/>
              <w:t>without the consent of the other directors, he is absent from meetings of directors for continuous period of six months.</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r>
        <w:rPr>
          <w:rFonts w:ascii="Times New Roman;Times;Serif" w:hAnsi="Times New Roman;Times;Serif"/>
          <w:b/>
          <w:i/>
          <w:caps w:val="false"/>
          <w:smallCaps w:val="false"/>
          <w:sz w:val="20"/>
        </w:rPr>
        <w:t>Powers and Duties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Cayman Companies Act and our memorandum and articles of association, our business shall be managed by the directors, who may exercise all our powers. No prior act of the directors shall be invalidated by any subsequent alteration of our amended and restated memorandum or articles of association. To the extent allowed by the Cayman Companies Act, however, shareholders may by special resolution validate any prior or future act of the directors which would otherwise be in breach of their duties.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shareholders and may include non-directors so long as the majority of those persons are directors; any committee so formed shall in the exercise of the powers so delegated conform to any regulations that may be imposed on it by the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establish any local or divisional board of directors or agency and delegate to it its powers and authorities (with power to sub-delegate) for managing any of our affairs whether in the Cayman Islands or elsewhere and may appoint any persons to be members of a local or divisional board of directors, or to be managers or agents, and may fix their remuneration.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our agent with or without authority for that person to delegate all or any of that person’s powers.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an attorney or authorized signatory of the Company and for such period and subject to such conditions as they may think fit. The powers, authorities and discretions, however, must not exceed those vested in, or exercisable, by the directors under the articles. The board of directors may remove any person so appointed and may revoke or vary the delegation.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of our powers to borrow money and to mortgage or charge its undertaking, property and assets both present and future and uncalled capital or any part thereof, to issue debentures and other securities whether outright or as collateral security for any debt, liability or obligation of ours or our parent undertaking (if any) or any subsidiary undertaking of us or of any third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expressly permitted by our articles of association, a director may not have a direct or indirect interest or duty which conflicts or may possibly conflict with the interests of the Company. If, notwithstanding this general prohibition, a director discloses to their fellow directors the nature and extent of any material interest or duty, they may: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9" w:type="dxa"/>
            <w:tcBorders/>
            <w:vAlign w:val="center"/>
          </w:tcPr>
          <w:p>
            <w:pPr>
              <w:pStyle w:val="TableContents"/>
              <w:bidi w:val="0"/>
              <w:spacing w:before="0" w:after="283"/>
              <w:jc w:val="both"/>
              <w:rPr/>
            </w:pPr>
            <w:r>
              <w:rPr/>
              <w:t>be a party to, or otherwise interested in, any transaction or arrangement with the Company or in which the Company is or may otherwise be interested;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director has made disclosure in accordance with our articles of association, then they shall not, by reason only of their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vote at a meeting of directors on any resolution concerning a matter in which that director has an interest or duty, whether directly or indirectly, so long as that director discloses any material interest. The director shall be counted towards a quorum of those present at the meeting. If the director votes on the resolution, their vote shall be counted.</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Capitalization of Profits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capitalize:</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both"/>
              <w:rPr/>
            </w:pPr>
            <w:r>
              <w:rPr/>
              <w:t>any part of our profits not required for paying any preferential dividend (whether or not those profits are available for distribution);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309"/>
        <w:gridCol w:w="9856"/>
      </w:tblGrid>
      <w:tr>
        <w:trPr/>
        <w:tc>
          <w:tcPr>
            <w:tcW w:w="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(b)</w:t>
            </w:r>
          </w:p>
        </w:tc>
        <w:tc>
          <w:tcPr>
            <w:tcW w:w="9856" w:type="dxa"/>
            <w:tcBorders/>
            <w:vAlign w:val="center"/>
          </w:tcPr>
          <w:p>
            <w:pPr>
              <w:pStyle w:val="TableContents"/>
              <w:bidi w:val="0"/>
              <w:spacing w:before="0" w:after="283"/>
              <w:jc w:val="both"/>
              <w:rPr/>
            </w:pPr>
            <w:r>
              <w:rPr/>
              <w:t>any sum standing to the credit of our share premium account or capital redemption reserve, if any.</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capitalized must be appropriated to the shareholders who would have been entitled to it had it been distributed by way of dividend and in the same proportions.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wound up, our shareholders may, subject to the articles and any other sanction required by the Cayman Companies Act, pass a special resolution allowing the liquidator to do either or both of the following:</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both"/>
              <w:rPr/>
            </w:pPr>
            <w:r>
              <w:rPr/>
              <w:t>to divide in specie among the shareholders the whole or any part of our assets and, for that purpose, to value any assets and to determine how the division shall be carried out as between the shareholders or different classes of shareholders;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3"/>
        <w:gridCol w:w="9895"/>
      </w:tblGrid>
      <w:tr>
        <w:trPr/>
        <w:tc>
          <w:tcPr>
            <w:tcW w:w="3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95" w:type="dxa"/>
            <w:tcBorders/>
            <w:vAlign w:val="center"/>
          </w:tcPr>
          <w:p>
            <w:pPr>
              <w:pStyle w:val="TableContents"/>
              <w:bidi w:val="0"/>
              <w:spacing w:before="0" w:after="283"/>
              <w:jc w:val="both"/>
              <w:rPr/>
            </w:pPr>
            <w:r>
              <w:rPr/>
              <w:t>to vest the whole or any part of the assets in trustees for the benefit of shareholders and those liable to contribute to the winding up.</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our winding up to the Grand Court of the Cayman Islands on our behalf without the sanction of a resolution passed at a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 of Members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Cayman Companies Act, we must keep a register of members which contains the following:</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82"/>
        <w:gridCol w:w="9657"/>
      </w:tblGrid>
      <w:tr>
        <w:trPr/>
        <w:tc>
          <w:tcPr>
            <w:tcW w:w="6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(a)</w:t>
            </w:r>
          </w:p>
        </w:tc>
        <w:tc>
          <w:tcPr>
            <w:tcW w:w="9657" w:type="dxa"/>
            <w:tcBorders/>
            <w:vAlign w:val="center"/>
          </w:tcPr>
          <w:p>
            <w:pPr>
              <w:pStyle w:val="TableContents"/>
              <w:bidi w:val="0"/>
              <w:spacing w:before="0" w:after="283"/>
              <w:jc w:val="both"/>
              <w:rPr/>
            </w:pPr>
            <w:r>
              <w:rPr/>
              <w:t>the names and addresses of the members of the Company;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0"/>
        <w:gridCol w:w="537"/>
        <w:gridCol w:w="9598"/>
      </w:tblGrid>
      <w:tr>
        <w:trPr/>
        <w:tc>
          <w:tcPr>
            <w:tcW w:w="7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pPr>
            <w:r>
              <w:rPr/>
              <w:t>(b)</w:t>
            </w:r>
          </w:p>
        </w:tc>
        <w:tc>
          <w:tcPr>
            <w:tcW w:w="9598" w:type="dxa"/>
            <w:tcBorders/>
            <w:vAlign w:val="center"/>
          </w:tcPr>
          <w:p>
            <w:pPr>
              <w:pStyle w:val="TableContents"/>
              <w:bidi w:val="0"/>
              <w:spacing w:before="0" w:after="283"/>
              <w:jc w:val="both"/>
              <w:rPr/>
            </w:pPr>
            <w:r>
              <w:rPr/>
              <w:t>a statement of the shares held by each member, which:</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319"/>
        <w:gridCol w:w="9834"/>
      </w:tblGrid>
      <w:tr>
        <w:trPr/>
        <w:tc>
          <w:tcPr>
            <w:tcW w:w="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(i)</w:t>
            </w:r>
          </w:p>
        </w:tc>
        <w:tc>
          <w:tcPr>
            <w:tcW w:w="9834" w:type="dxa"/>
            <w:tcBorders/>
            <w:vAlign w:val="center"/>
          </w:tcPr>
          <w:p>
            <w:pPr>
              <w:pStyle w:val="TableContents"/>
              <w:bidi w:val="0"/>
              <w:spacing w:before="0" w:after="283"/>
              <w:jc w:val="both"/>
              <w:rPr/>
            </w:pPr>
            <w:r>
              <w:rPr/>
              <w:t>distinguishes each share by its number (so long as the share has a number);</w:t>
            </w:r>
          </w:p>
        </w:tc>
      </w:tr>
    </w:tbl>
    <w:tbl>
      <w:tblPr>
        <w:tblW w:w="5000" w:type="pct"/>
        <w:jc w:val="left"/>
        <w:tblInd w:w="0" w:type="dxa"/>
        <w:tblLayout w:type="fixed"/>
        <w:tblCellMar>
          <w:top w:w="0" w:type="dxa"/>
          <w:left w:w="0" w:type="dxa"/>
          <w:bottom w:w="0" w:type="dxa"/>
          <w:right w:w="0" w:type="dxa"/>
        </w:tblCellMar>
      </w:tblPr>
      <w:tblGrid>
        <w:gridCol w:w="42"/>
        <w:gridCol w:w="326"/>
        <w:gridCol w:w="9837"/>
      </w:tblGrid>
      <w:tr>
        <w:trPr/>
        <w:tc>
          <w:tcPr>
            <w:tcW w:w="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(ii)</w:t>
            </w:r>
          </w:p>
        </w:tc>
        <w:tc>
          <w:tcPr>
            <w:tcW w:w="9837" w:type="dxa"/>
            <w:tcBorders/>
            <w:vAlign w:val="center"/>
          </w:tcPr>
          <w:p>
            <w:pPr>
              <w:pStyle w:val="TableContents"/>
              <w:bidi w:val="0"/>
              <w:spacing w:before="0" w:after="283"/>
              <w:jc w:val="both"/>
              <w:rPr/>
            </w:pPr>
            <w:r>
              <w:rPr/>
              <w:t>confirms the amount paid, or agreed to be considered as paid, on the shares of each member;</w:t>
            </w:r>
          </w:p>
        </w:tc>
      </w:tr>
    </w:tbl>
    <w:tbl>
      <w:tblPr>
        <w:tblW w:w="5000" w:type="pct"/>
        <w:jc w:val="left"/>
        <w:tblInd w:w="0" w:type="dxa"/>
        <w:tblLayout w:type="fixed"/>
        <w:tblCellMar>
          <w:top w:w="0" w:type="dxa"/>
          <w:left w:w="0" w:type="dxa"/>
          <w:bottom w:w="0" w:type="dxa"/>
          <w:right w:w="0" w:type="dxa"/>
        </w:tblCellMar>
      </w:tblPr>
      <w:tblGrid>
        <w:gridCol w:w="54"/>
        <w:gridCol w:w="503"/>
        <w:gridCol w:w="9648"/>
      </w:tblGrid>
      <w:tr>
        <w:trPr/>
        <w:tc>
          <w:tcPr>
            <w:tcW w:w="5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pPr>
            <w:r>
              <w:rPr/>
              <w:t>(iii)</w:t>
            </w:r>
          </w:p>
        </w:tc>
        <w:tc>
          <w:tcPr>
            <w:tcW w:w="9648" w:type="dxa"/>
            <w:tcBorders/>
            <w:vAlign w:val="center"/>
          </w:tcPr>
          <w:p>
            <w:pPr>
              <w:pStyle w:val="TableContents"/>
              <w:bidi w:val="0"/>
              <w:spacing w:before="0" w:after="283"/>
              <w:jc w:val="both"/>
              <w:rPr/>
            </w:pPr>
            <w:r>
              <w:rPr/>
              <w:t>confirms the number and category of shares held by each member; and</w:t>
            </w:r>
          </w:p>
        </w:tc>
      </w:tr>
    </w:tbl>
    <w:tbl>
      <w:tblPr>
        <w:tblW w:w="5000" w:type="pct"/>
        <w:jc w:val="left"/>
        <w:tblInd w:w="0" w:type="dxa"/>
        <w:tblLayout w:type="fixed"/>
        <w:tblCellMar>
          <w:top w:w="0" w:type="dxa"/>
          <w:left w:w="0" w:type="dxa"/>
          <w:bottom w:w="0" w:type="dxa"/>
          <w:right w:w="0" w:type="dxa"/>
        </w:tblCellMar>
      </w:tblPr>
      <w:tblGrid>
        <w:gridCol w:w="37"/>
        <w:gridCol w:w="321"/>
        <w:gridCol w:w="9847"/>
      </w:tblGrid>
      <w:tr>
        <w:trPr/>
        <w:tc>
          <w:tcPr>
            <w:tcW w:w="3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(iv)</w:t>
            </w:r>
          </w:p>
        </w:tc>
        <w:tc>
          <w:tcPr>
            <w:tcW w:w="9847" w:type="dxa"/>
            <w:tcBorders/>
            <w:vAlign w:val="center"/>
          </w:tcPr>
          <w:p>
            <w:pPr>
              <w:pStyle w:val="TableContents"/>
              <w:bidi w:val="0"/>
              <w:spacing w:before="0" w:after="283"/>
              <w:jc w:val="both"/>
              <w:rPr/>
            </w:pPr>
            <w:r>
              <w:rPr/>
              <w:t>confirms whether each relevant category of shares held by a member carries voting rights under the Articles, and if so, whether such voting rights are conditional;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327"/>
        <w:gridCol w:w="9833"/>
      </w:tblGrid>
      <w:tr>
        <w:trPr/>
        <w:tc>
          <w:tcPr>
            <w:tcW w:w="4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(c)</w:t>
            </w:r>
          </w:p>
        </w:tc>
        <w:tc>
          <w:tcPr>
            <w:tcW w:w="9833" w:type="dxa"/>
            <w:tcBorders/>
            <w:vAlign w:val="center"/>
          </w:tcPr>
          <w:p>
            <w:pPr>
              <w:pStyle w:val="TableContents"/>
              <w:bidi w:val="0"/>
              <w:spacing w:before="0" w:after="283"/>
              <w:jc w:val="both"/>
              <w:rPr/>
            </w:pPr>
            <w:r>
              <w:rPr/>
              <w:t>the date on which the name of any person was entered on the register as a member;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1"/>
        <w:gridCol w:w="548"/>
        <w:gridCol w:w="9586"/>
      </w:tblGrid>
      <w:tr>
        <w:trPr/>
        <w:tc>
          <w:tcPr>
            <w:tcW w:w="7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pPr>
            <w:r>
              <w:rPr/>
              <w:t>(d)</w:t>
            </w:r>
          </w:p>
        </w:tc>
        <w:tc>
          <w:tcPr>
            <w:tcW w:w="9586" w:type="dxa"/>
            <w:tcBorders/>
            <w:vAlign w:val="center"/>
          </w:tcPr>
          <w:p>
            <w:pPr>
              <w:pStyle w:val="TableContents"/>
              <w:bidi w:val="0"/>
              <w:spacing w:before="0" w:after="283"/>
              <w:jc w:val="both"/>
              <w:rPr/>
            </w:pPr>
            <w:r>
              <w:rPr/>
              <w:t>the date on which any person ceased to be a member.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directed or authorized to be inserted therein by the Cayman Companies Act (that is, the register of members will raise a presumption of fact on the matters referred to above unless rebutted) and a shareholder registered in the register of members is deemed as a matter of the Cayman Islands law to have legal title to the shares as set against its name in the register of members.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the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courts.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Exempted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Cayman Companies Act. The Cayman Companies Act distinguishes 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 a company the objects of which are to be carried out mainly outside the Cayman Islands or pursuant to a licence to carry on business in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is prohibited from trading in the Cayman Islands with any person, firm or corporation except in furtherance of the business of the exempted company carried on outside the Cayman Islands, unless that exempted company holds a licence to carry on business in the Islands under any applicable law;</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0"/>
        <w:gridCol w:w="265"/>
        <w:gridCol w:w="9860"/>
      </w:tblGrid>
      <w:tr>
        <w:trPr/>
        <w:tc>
          <w:tcPr>
            <w:tcW w:w="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Symbol" w:hAnsi="Symbol"/>
              </w:rPr>
            </w:pPr>
            <w:r>
              <w:rPr>
                <w:rFonts w:ascii="Symbol" w:hAnsi="Symbol"/>
              </w:rPr>
              <w:t>·</w:t>
            </w:r>
          </w:p>
        </w:tc>
        <w:tc>
          <w:tcPr>
            <w:tcW w:w="9860"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does not have to make its register of members open to inspection by shareholders of that company (unless it holds a licence to carry on business in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rPr>
            </w:pPr>
            <w:r>
              <w:rPr>
                <w:rFonts w:ascii="Symbol" w:hAnsi="Symbol"/>
              </w:rPr>
              <w:t>·</w:t>
            </w:r>
          </w:p>
        </w:tc>
        <w:tc>
          <w:tcPr>
            <w:tcW w:w="9967" w:type="dxa"/>
            <w:tcBorders/>
            <w:vAlign w:val="center"/>
          </w:tcPr>
          <w:p>
            <w:pPr>
              <w:pStyle w:val="TableContents"/>
              <w:bidi w:val="0"/>
              <w:spacing w:before="0" w:after="283"/>
              <w:jc w:val="both"/>
              <w:rPr/>
            </w:pPr>
            <w:r>
              <w:rPr/>
              <w:t>may obtain an undertaking against the imposition of any future taxation;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130"/>
        <w:gridCol w:w="10036"/>
      </w:tblGrid>
      <w:tr>
        <w:trPr/>
        <w:tc>
          <w:tcPr>
            <w:tcW w:w="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rPr>
            </w:pPr>
            <w:r>
              <w:rPr>
                <w:rFonts w:ascii="Symbol" w:hAnsi="Symbol"/>
              </w:rPr>
              <w:t>·</w:t>
            </w:r>
          </w:p>
        </w:tc>
        <w:tc>
          <w:tcPr>
            <w:tcW w:w="10036"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270"/>
        <w:gridCol w:w="9853"/>
      </w:tblGrid>
      <w:tr>
        <w:trPr/>
        <w:tc>
          <w:tcPr>
            <w:tcW w:w="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Symbol" w:hAnsi="Symbol"/>
              </w:rPr>
            </w:pPr>
            <w:r>
              <w:rPr>
                <w:rFonts w:ascii="Symbol" w:hAnsi="Symbol"/>
              </w:rPr>
              <w:t>·</w:t>
            </w:r>
          </w:p>
        </w:tc>
        <w:tc>
          <w:tcPr>
            <w:tcW w:w="9853"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2"/>
        <w:gridCol w:w="271"/>
        <w:gridCol w:w="9852"/>
      </w:tblGrid>
      <w:tr>
        <w:trPr/>
        <w:tc>
          <w:tcPr>
            <w:tcW w:w="8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rPr>
            </w:pPr>
            <w:r>
              <w:rPr>
                <w:rFonts w:ascii="Symbol" w:hAnsi="Symbol"/>
              </w:rPr>
              <w:t>·</w:t>
            </w:r>
          </w:p>
        </w:tc>
        <w:tc>
          <w:tcPr>
            <w:tcW w:w="9852" w:type="dxa"/>
            <w:tcBorders/>
            <w:vAlign w:val="center"/>
          </w:tcPr>
          <w:p>
            <w:pPr>
              <w:pStyle w:val="TableContents"/>
              <w:bidi w:val="0"/>
              <w:spacing w:before="0" w:after="283"/>
              <w:jc w:val="both"/>
              <w:rPr/>
            </w:pPr>
            <w:r>
              <w:rPr/>
              <w:t>may register as a segregated portfolio company.</w:t>
            </w:r>
          </w:p>
        </w:tc>
      </w:tr>
    </w:tbl>
    <w:p>
      <w:pPr>
        <w:pStyle w:val="TextBody"/>
        <w:bidi w:val="0"/>
        <w:jc w:val="both"/>
        <w:rPr>
          <w:caps w:val="false"/>
          <w:smallCaps w:val="false"/>
        </w:rPr>
      </w:pPr>
      <w:r>
        <w:rPr>
          <w:caps w:val="false"/>
          <w:smallCaps w:val="false"/>
        </w:rPr>
        <w:t> </w:t>
      </w:r>
    </w:p>
    <w:p>
      <w:pPr>
        <w:pStyle w:val="TextBody"/>
        <w:shd w:fill="FFFFFF" w:val="clear"/>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is derived, to a large extent, from the older Companies Acts of England but does not follow recent United Kingdom statutory enactments, and accordingly there are significant differences between the Cayman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United States and their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in the consolidated company. In order to effect such a merger or consolidation, among other things,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among other documents, a declaration as to the solvency of the consolidated or surviving company, a declaration of the assets and liabilities of each constituent company and (unless the surviving or consolidated company is to be a non-Cayman Islands company)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Islands parent company and its Cayman Islands subsidiary or subsidiaries does not require authorization by a resolution of shareholders if a copy of the plan of merger is given to every member of each subsidiary company to be merged unless that member agrees otherwise. For this purpose, a subsidiary is a company of which at least 90% of the issued shares entitled to vote are owned by the parent company.</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of a constituent company is required unless this requirement is waived by a court in the Cayman Islands.</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from a merger or consolidation, provided the dissenting shareholder complies strictly with the procedures set out in the Cayman Companies Act. The exercise of such dissenter rights will preclude the exercise by the dissenting shareholder of any other rights to which he or she might otherwise be entitled by virtue of holding shares, except for the right to seek relief on the grounds that the merger or consolidation is void or unlawful.</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Cayman Companies Act also contains statutory provisions that facilitate the reconstruction and amalgamation of companies by way of schemes of arrangement. Any such arrangement must be approved by (a) a majority in number of the creditors or each class of creditors, as the case may be, with whom the arrangement is to be made and who must, in addition, represent seventy-five percent in value of the creditors or each such class of creditors, as the case may be, that are present and voting either in person or by proxy at a meeting, or meetings, convened for that purpose and (b) seventy-five percent in value of the shareholders of each class of shareholders, as the case may be, with whom the arrangement is to be made that are present and voting either in person or by proxy at a meeting, or meetings, convened for that purpose, as applicable.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court’s directions and the statutory provisions as to the required majority vote have been met;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limits the circumstances in which a shareholder may bring a derivative action on behalf of the company or a personal action to claim loss which is reflective of loss suffered by the company) which permit a minority shareholder to commence a class action against, or derivative actions in the name of, a company to challenge the following:</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 company acts or proposes to act illegally or ultra vires and is therefore incapable of ratification by the shareholder;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irregularity in the passing of a resolution which requires a qualified majority;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act purporting to abridge or abolish the individual rights of a member;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 act which constitutes a fraud on the minority where the wrongdoers are themselves in control of the company.</w:t>
            </w:r>
          </w:p>
        </w:tc>
      </w:tr>
    </w:tbl>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shd w:fill="FFFFFF" w:val="clear"/>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or dishonesty. 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w:t>
      </w:r>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wilful default or fraud.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director (including alternate director), secretary, or officer must repay the amount paid by us to the extent that it is ultimately found not liable to indemnify the director (including alternate director), the secretary, or that officer for those legal costs.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standard of conduct is generally the same as permitted under the Delaware General Corporation Law for a Delaware corporation. In addition, we plan to enter into indemnification agreements with our directors and senior executive officers that will provide such persons with additional indemnification beyond that provided in our Memorandum and Articles.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interests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where certain duties owed by any of our directors are breached.</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amended and restated articles of association provide that general meetings shall be convened on the written requisition of one or more of the shareholders entitled to attend and vote at our general meetings who (together) hold not less than 10 percent of the rights to vote at such general meeting in accordance with the notice provisions in the amended and restated articles of association, specifying the purpose of the meeting and signed by each of the shareholders making the requisition. If the directors do not convene such meeting for a date not later than 21 clear days’ after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 Our amended and restated articles of association provide no other right to put any proposals before annual general meetings or extraordinary general meetings. As a Cayman Islands exempted company, we are not obligated by law to call shareholders’ annual general meetings.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Articles do not provide for cumulative voting. As a result, our shareholders are not afforded any less protections or rights on this issue than shareholders of a Delaware corporation.</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any of our directors may be removed by ordinary resolution of our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our articles of association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ind w:left="0" w:right="0" w:hanging="0"/>
        <w:jc w:val="left"/>
        <w:rPr/>
      </w:pPr>
      <w:r>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Companies Act has no comparable provisions. As a result, we cannot avail ourselves of the types of protections afforded by the Delaware business combination statute. However, although the Cayman Companies Act does not regulate transactions between a company and its significant shareholders, under Cayman Islands law, our directors owe fiduciary duties to our Company to act in the best interests of the company and exercise their powers for a proper purpose when considering and approving such transactions.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and our amended and restated articles of association, the company may be wound up by a special resolution of our shareholders,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Memorandum and Articles, if our share capital is divided into more than one class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our Memorandum and Articles may only be amended by special resolution of our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w:t>
      </w:r>
    </w:p>
    <w:p>
      <w:pPr>
        <w:pStyle w:val="TextBody"/>
        <w:shd w:fill="FFFFFF" w:val="clear"/>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Power to Issue Shares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Memorandum and Articles, our board of directors is empowered to issue or allot shares or grant options and warrants with or without preferred, deferred, qualified or other special rights or restrictions.</w:t>
      </w:r>
    </w:p>
    <w:p>
      <w:pPr>
        <w:pStyle w:val="TextBody"/>
        <w:shd w:fill="FFFFFF" w:val="clear"/>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DESCRIPTION OF WARRANTS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Class A Ordinary Shares.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warrant document when it is filed.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title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total number of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will be issued;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price or prices at which the warrants may be exercised;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currency or currencies that investors may use to pay for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warrants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warrants will be issued in registered form;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information with respect to book-entry procedures,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minimum or maximum amount of warrants that may be exercised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underlying Class A Ordinary Shares with which the warrants are issued and the number of warrants issued with each underlying Class A Ordinary Share;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related underlying Class A Ordinary Shares will be separately transferable;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a discussion of material federal income tax considerations;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if applicable, the terms of redemption of the warrants;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identity of the warrant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procedures and conditions relating to the exercise of the warrants;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warrants, including terms, procedures, and limitations relating to the exchange and exercise of the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Class A Ordinary Shares will not have any rights of holders of Class A Ordinary Shares and will not be entitled to dividend payments, if any, or voting rights of the Class A Ordinary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Class A Ordinary Shares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DESCRIPTION OF RIGHTS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Class A Ordinary Shares.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
        <w:gridCol w:w="224"/>
        <w:gridCol w:w="9852"/>
      </w:tblGrid>
      <w:tr>
        <w:trPr/>
        <w:tc>
          <w:tcPr>
            <w:tcW w:w="129" w:type="dxa"/>
            <w:tcBorders/>
            <w:vAlign w:val="center"/>
          </w:tcPr>
          <w:p>
            <w:pPr>
              <w:pStyle w:val="TableContents"/>
              <w:bidi w:val="0"/>
              <w:spacing w:before="0" w:after="283"/>
              <w:jc w:val="both"/>
              <w:rPr/>
            </w:pPr>
            <w:r>
              <w:rPr/>
              <w:t xml:space="preserve">  </w:t>
            </w:r>
          </w:p>
        </w:tc>
        <w:tc>
          <w:tcPr>
            <w:tcW w:w="224" w:type="dxa"/>
            <w:tcBorders/>
            <w:vAlign w:val="center"/>
          </w:tcPr>
          <w:p>
            <w:pPr>
              <w:pStyle w:val="TableContents"/>
              <w:bidi w:val="0"/>
              <w:spacing w:before="0" w:after="283"/>
              <w:jc w:val="both"/>
              <w:rPr/>
            </w:pPr>
            <w:r>
              <w:rPr/>
              <w:t xml:space="preserve">● </w:t>
            </w:r>
          </w:p>
        </w:tc>
        <w:tc>
          <w:tcPr>
            <w:tcW w:w="9852" w:type="dxa"/>
            <w:tcBorders/>
            <w:vAlign w:val="center"/>
          </w:tcPr>
          <w:p>
            <w:pPr>
              <w:pStyle w:val="TableContents"/>
              <w:bidi w:val="0"/>
              <w:spacing w:before="0" w:after="283"/>
              <w:jc w:val="both"/>
              <w:rPr/>
            </w:pPr>
            <w:r>
              <w:rPr/>
              <w:t xml:space="preserve">the date of determining the security holders entitled to the rights distribution; </w:t>
            </w:r>
          </w:p>
        </w:tc>
      </w:tr>
      <w:tr>
        <w:trPr/>
        <w:tc>
          <w:tcPr>
            <w:tcW w:w="129" w:type="dxa"/>
            <w:tcBorders/>
            <w:vAlign w:val="center"/>
          </w:tcPr>
          <w:p>
            <w:pPr>
              <w:pStyle w:val="TableContents"/>
              <w:bidi w:val="0"/>
              <w:spacing w:before="0" w:after="283"/>
              <w:jc w:val="both"/>
              <w:rPr/>
            </w:pPr>
            <w:r>
              <w:rPr/>
              <w:t xml:space="preserve">  </w:t>
            </w:r>
          </w:p>
        </w:tc>
        <w:tc>
          <w:tcPr>
            <w:tcW w:w="224" w:type="dxa"/>
            <w:tcBorders/>
            <w:vAlign w:val="center"/>
          </w:tcPr>
          <w:p>
            <w:pPr>
              <w:pStyle w:val="TableContents"/>
              <w:bidi w:val="0"/>
              <w:spacing w:before="0" w:after="283"/>
              <w:jc w:val="both"/>
              <w:rPr/>
            </w:pPr>
            <w:r>
              <w:rPr/>
              <w:t xml:space="preserve">  </w:t>
            </w:r>
          </w:p>
        </w:tc>
        <w:tc>
          <w:tcPr>
            <w:tcW w:w="9852" w:type="dxa"/>
            <w:tcBorders/>
            <w:vAlign w:val="center"/>
          </w:tcPr>
          <w:p>
            <w:pPr>
              <w:pStyle w:val="TableContents"/>
              <w:bidi w:val="0"/>
              <w:spacing w:before="0" w:after="283"/>
              <w:jc w:val="both"/>
              <w:rPr/>
            </w:pPr>
            <w:r>
              <w:rPr/>
              <w:t xml:space="preserve">  </w:t>
            </w:r>
          </w:p>
        </w:tc>
      </w:tr>
      <w:tr>
        <w:trPr/>
        <w:tc>
          <w:tcPr>
            <w:tcW w:w="129" w:type="dxa"/>
            <w:tcBorders/>
            <w:vAlign w:val="center"/>
          </w:tcPr>
          <w:p>
            <w:pPr>
              <w:pStyle w:val="TableContents"/>
              <w:bidi w:val="0"/>
              <w:spacing w:before="0" w:after="283"/>
              <w:jc w:val="both"/>
              <w:rPr/>
            </w:pPr>
            <w:r>
              <w:rPr/>
              <w:t xml:space="preserve">  </w:t>
            </w:r>
          </w:p>
        </w:tc>
        <w:tc>
          <w:tcPr>
            <w:tcW w:w="224" w:type="dxa"/>
            <w:tcBorders/>
            <w:vAlign w:val="center"/>
          </w:tcPr>
          <w:p>
            <w:pPr>
              <w:pStyle w:val="TableContents"/>
              <w:bidi w:val="0"/>
              <w:spacing w:before="0" w:after="283"/>
              <w:jc w:val="both"/>
              <w:rPr/>
            </w:pPr>
            <w:r>
              <w:rPr/>
              <w:t xml:space="preserve">● </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number of rights issued and the aggregate amount of Class A Ordinary Shares purchasable upon exercise of the rights; </w:t>
            </w:r>
          </w:p>
        </w:tc>
      </w:tr>
      <w:tr>
        <w:trPr/>
        <w:tc>
          <w:tcPr>
            <w:tcW w:w="129" w:type="dxa"/>
            <w:tcBorders/>
            <w:vAlign w:val="center"/>
          </w:tcPr>
          <w:p>
            <w:pPr>
              <w:pStyle w:val="TableContents"/>
              <w:bidi w:val="0"/>
              <w:spacing w:before="0" w:after="283"/>
              <w:jc w:val="both"/>
              <w:rPr/>
            </w:pPr>
            <w:r>
              <w:rPr/>
              <w:t xml:space="preserve">  </w:t>
            </w:r>
          </w:p>
        </w:tc>
        <w:tc>
          <w:tcPr>
            <w:tcW w:w="224" w:type="dxa"/>
            <w:tcBorders/>
            <w:vAlign w:val="center"/>
          </w:tcPr>
          <w:p>
            <w:pPr>
              <w:pStyle w:val="TableContents"/>
              <w:bidi w:val="0"/>
              <w:spacing w:before="0" w:after="283"/>
              <w:jc w:val="both"/>
              <w:rPr/>
            </w:pPr>
            <w:r>
              <w:rPr/>
              <w:t xml:space="preserve">  </w:t>
            </w:r>
          </w:p>
        </w:tc>
        <w:tc>
          <w:tcPr>
            <w:tcW w:w="9852" w:type="dxa"/>
            <w:tcBorders/>
            <w:vAlign w:val="center"/>
          </w:tcPr>
          <w:p>
            <w:pPr>
              <w:pStyle w:val="TableContents"/>
              <w:bidi w:val="0"/>
              <w:spacing w:before="0" w:after="283"/>
              <w:jc w:val="both"/>
              <w:rPr/>
            </w:pPr>
            <w:r>
              <w:rPr/>
              <w:t xml:space="preserve">  </w:t>
            </w:r>
          </w:p>
        </w:tc>
      </w:tr>
      <w:tr>
        <w:trPr/>
        <w:tc>
          <w:tcPr>
            <w:tcW w:w="129" w:type="dxa"/>
            <w:tcBorders/>
            <w:vAlign w:val="center"/>
          </w:tcPr>
          <w:p>
            <w:pPr>
              <w:pStyle w:val="TableContents"/>
              <w:bidi w:val="0"/>
              <w:spacing w:before="0" w:after="283"/>
              <w:jc w:val="both"/>
              <w:rPr/>
            </w:pPr>
            <w:r>
              <w:rPr/>
              <w:t xml:space="preserve">  </w:t>
            </w:r>
          </w:p>
        </w:tc>
        <w:tc>
          <w:tcPr>
            <w:tcW w:w="224" w:type="dxa"/>
            <w:tcBorders/>
            <w:vAlign w:val="center"/>
          </w:tcPr>
          <w:p>
            <w:pPr>
              <w:pStyle w:val="TableContents"/>
              <w:bidi w:val="0"/>
              <w:spacing w:before="0" w:after="283"/>
              <w:jc w:val="both"/>
              <w:rPr/>
            </w:pPr>
            <w:r>
              <w:rPr/>
              <w:t xml:space="preserve">● </w:t>
            </w:r>
          </w:p>
        </w:tc>
        <w:tc>
          <w:tcPr>
            <w:tcW w:w="9852" w:type="dxa"/>
            <w:tcBorders/>
            <w:vAlign w:val="center"/>
          </w:tcPr>
          <w:p>
            <w:pPr>
              <w:pStyle w:val="TableContents"/>
              <w:bidi w:val="0"/>
              <w:spacing w:before="0" w:after="283"/>
              <w:jc w:val="both"/>
              <w:rPr/>
            </w:pPr>
            <w:r>
              <w:rPr/>
              <w:t xml:space="preserve">the exercise price;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conditions to completion of the rights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applicable federal income tax considerations.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Class A Ordinary Shares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25</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DESCRIPTION OF UNITS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Class A Ordinary Shares, warrants and rights (each as described above).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Documents by Reference</w:t>
      </w:r>
      <w:r>
        <w:rPr>
          <w:rFonts w:ascii="Times New Roman;Times;Serif" w:hAnsi="Times New Roman;Times;Serif"/>
          <w:b w:val="false"/>
          <w:i w:val="false"/>
          <w:caps w:val="false"/>
          <w:smallCaps w:val="false"/>
          <w:sz w:val="20"/>
        </w:rPr>
        <w:t>” below for information on how to obtain a copy of a document when it is filed.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provisions for the issuance, payment, settlement, transfer, or exchange of the units or of the securities composing the units;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Whether the units will be issued in fully registered or global form;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Any other terms of the units.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w:t>
      </w:r>
      <w:r>
        <w:rPr>
          <w:rFonts w:ascii="Times New Roman;Times;Serif" w:hAnsi="Times New Roman;Times;Serif"/>
          <w:b w:val="false"/>
          <w:i/>
          <w:caps w:val="false"/>
          <w:smallCaps w:val="false"/>
          <w:sz w:val="20"/>
        </w:rPr>
        <w:t>Description of Share Capital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Description of Warrants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Description of Rights</w:t>
      </w:r>
      <w:r>
        <w:rPr>
          <w:rFonts w:ascii="Times New Roman;Times;Serif" w:hAnsi="Times New Roman;Times;Serif"/>
          <w:b w:val="false"/>
          <w:i w:val="false"/>
          <w:caps w:val="false"/>
          <w:smallCaps w:val="false"/>
          <w:sz w:val="20"/>
        </w:rPr>
        <w:t>” above, will apply to each unit and to each security included in each unit, respectively.</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PLAN OF DISTRIBUTION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75"/>
        <w:gridCol w:w="170"/>
        <w:gridCol w:w="25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through agents;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25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70" w:type="dxa"/>
            <w:tcBorders/>
            <w:vAlign w:val="center"/>
          </w:tcPr>
          <w:p>
            <w:pPr>
              <w:pStyle w:val="TableContents"/>
              <w:bidi w:val="0"/>
              <w:spacing w:before="0" w:after="283"/>
              <w:jc w:val="both"/>
              <w:rPr/>
            </w:pPr>
            <w:r>
              <w:rPr/>
              <w:t>to or through underwriters;</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broker-dealers (acting as agent or principal);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directly by us to purchasers (including our affiliates and shareholders), through a specific bidding or auction process, a rights offering, or other method;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 combination of any such methods of sale;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through any other methods described in a prospectus supplement.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purchases by a broker-dealer as principal and resale by the broker-dealer for its own account pursuant to a prospectus supplement;</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ordinary brokerage transactions and transactions in which a broker-dealer solicits purchasers;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sales in other ways not involving market makers or established trading markets, including direct sales to purchasers.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27</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TAXATION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income tax consequences relating to the purchase, ownership, and disposition of the securities offered by this prospectus are set forth in “</w:t>
      </w:r>
      <w:r>
        <w:rPr>
          <w:rFonts w:ascii="Times New Roman;Times;Serif" w:hAnsi="Times New Roman;Times;Serif"/>
          <w:b w:val="false"/>
          <w:i/>
          <w:caps w:val="false"/>
          <w:smallCaps w:val="false"/>
          <w:sz w:val="20"/>
        </w:rPr>
        <w:t>Item 10. Additional Information—E. Taxation</w:t>
      </w:r>
      <w:r>
        <w:rPr>
          <w:rFonts w:ascii="Times New Roman;Times;Serif" w:hAnsi="Times New Roman;Times;Serif"/>
          <w:b w:val="false"/>
          <w:i w:val="false"/>
          <w:caps w:val="false"/>
          <w:smallCaps w:val="false"/>
          <w:sz w:val="20"/>
        </w:rPr>
        <w:t>” in the 2024 Annual Report,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28</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shareholders to be named in a prospectus supplement may, from time to time, offer and sell Class A Ordinary Shares of our company held by them pursuant to this prospectus and the applicable prospectus supplement. Such selling shareholders may sell Class A Ordinary Shares to or through underwriters, dealers or agents or directly to purchasers or as otherwise set forth in the applicable prospectus supplement.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Such selling shareholders may also sell, transfer or otherwise dispose of Ordinary Shares in transactions exempt from the registration requirements of the Securities Act.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shareholder is to offer and sell Class A Ordinary Shares pursuant to this prospectus, we will provide you with a prospectus supplement that sets forth the name of each such selling shareholder and the number of Class A Ordinary Shares beneficially owned by each such selling shareholder. The prospectus supplement also will disclose whether any of the selling shareholders have held any position or office with, have been employed by, or otherwise have had a material relationship with us during the three years prior to the date of the prospectus supplement.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EXPENSES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 SEC registration fee of $41,430, and will also incur printing costs, legal fees and expenses, accounting fees and expenses, and other listing and qualifications fees in connection with the offering of securities. Expenses of any of the securities offered by this prospectus will be set forth in the applicable prospectus supplement(s) relating to the offering of those securities.</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MATERIAL CONTRACTS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w:t>
      </w:r>
      <w:r>
        <w:rPr>
          <w:rFonts w:ascii="Times New Roman;Times;Serif" w:hAnsi="Times New Roman;Times;Serif"/>
          <w:b w:val="false"/>
          <w:i/>
          <w:caps w:val="false"/>
          <w:smallCaps w:val="false"/>
          <w:sz w:val="20"/>
        </w:rPr>
        <w:t xml:space="preserve">Incorporation of Documents by Reference” </w:t>
      </w:r>
      <w:r>
        <w:rPr>
          <w:rFonts w:ascii="Times New Roman;Times;Serif" w:hAnsi="Times New Roman;Times;Serif"/>
          <w:b w:val="false"/>
          <w:i w:val="false"/>
          <w:caps w:val="false"/>
          <w:smallCaps w:val="false"/>
          <w:sz w:val="20"/>
        </w:rPr>
        <w:t>below.</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MATERIAL CHANGES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the 2024 Annual Report, in our reports of foreign issuer on Form 6-K filed or submitted under the Exchange Act and incorporated by reference herein, and as disclosed in this prospectus or the applicable prospectus supplement, no reportable material changes have occurred since December 31, 2024.</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LEGAL MATTERS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as to United States federal securities and New York State law. The validity of the securities offered in this offering and certain other legal matters as to Cayman Islands law will be passed upon for us by Ogier (Cayman) LLP, our counsel as to Cayman Islands law. Legal matters as to PRC law will be passed upon for us by Global Law Office. 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EXPERTS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2024, and for the year ended December 31, 2024, incorporated by reference into this prospectus from the 2024 Annual Report, have been audited by HTL International, LLC, an independent registered public accounting firm, as stated in their report. Such financial statements have been so included in reliance upon the report of such firm given upon their authority as experts in auditing and accounting. The office of HTL International, LLC was located at 12 Greenway Plaza Suite 1100 Houston, TX 77046.</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29</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as of December 31, 2022 and 2023, and for each of the two years in the period ended December 31, 2023, incorporated by reference into this prospectus from the 2024 Annual Report, have been audited by TPS Thayer, LLC, an independent registered public accounting firm, as stated in their report. Such financial statements have been so included in reliance upon the report of such firm given upon their authority as experts in auditing and accounting. The office of TPS Thayer, LLC is located at 1600 Hwy. 6, Suite 100, Sugar Land, TX 77478.</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INCORPORATION OF DOCUMENTS BY REFERENCE</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is incorporated by reference herein, modifies or supersedes such earlier statement. Any such statement so modified or superseded shall not be deemed, except as so modified or superseded, to constitute a part of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both"/>
              <w:rPr/>
            </w:pPr>
            <w:r>
              <w:rPr/>
              <w:t>our annual report on Form 20-F for the fiscal year ended December 31, 2024 filed with the SEC on April 28,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
        <w:gridCol w:w="204"/>
        <w:gridCol w:w="9905"/>
      </w:tblGrid>
      <w:tr>
        <w:trPr/>
        <w:tc>
          <w:tcPr>
            <w:tcW w:w="96" w:type="dxa"/>
            <w:tcBorders/>
            <w:vAlign w:val="center"/>
          </w:tcPr>
          <w:p>
            <w:pPr>
              <w:pStyle w:val="TableContents"/>
              <w:bidi w:val="0"/>
              <w:spacing w:before="0" w:after="283"/>
              <w:jc w:val="left"/>
              <w:rPr/>
            </w:pPr>
            <w:r>
              <w:rPr/>
              <w:t xml:space="preserve">  </w:t>
            </w:r>
          </w:p>
        </w:tc>
        <w:tc>
          <w:tcPr>
            <w:tcW w:w="204" w:type="dxa"/>
            <w:tcBorders/>
            <w:vAlign w:val="center"/>
          </w:tcPr>
          <w:p>
            <w:pPr>
              <w:pStyle w:val="TableContents"/>
              <w:bidi w:val="0"/>
              <w:spacing w:before="0" w:after="283"/>
              <w:jc w:val="left"/>
              <w:rPr/>
            </w:pPr>
            <w:r>
              <w:rPr/>
              <w:t xml:space="preserve">2.  </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reports of foreign private issuer on Form 6-K filed with the SEC on March 18, 2026, March 6, 2026, January 6, 2026, December 22, 2025, November 25, 2025, October 20, 2025, September 22, 2025, September 22, 2025, August 27, 2025, August 21, 2025, August 4, 2025, May 21, 2025, May 19, 2025, and April 29, 2025;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3.</w:t>
            </w:r>
          </w:p>
        </w:tc>
        <w:tc>
          <w:tcPr>
            <w:tcW w:w="9973" w:type="dxa"/>
            <w:tcBorders/>
            <w:vAlign w:val="center"/>
          </w:tcPr>
          <w:p>
            <w:pPr>
              <w:pStyle w:val="TableContents"/>
              <w:bidi w:val="0"/>
              <w:spacing w:before="0" w:after="283"/>
              <w:jc w:val="both"/>
              <w:rPr/>
            </w:pPr>
            <w:r>
              <w:rPr/>
              <w:t>the description of our securities contained in our registration statement on Form 8-A filed with the SEC on September 26, 2024, the description of securities contained in exhibit 2.3 to the 2024 Annual Report filed with the SEC on April 28, 2025, and any amendment or report filed for the purpose of updating such description;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3"/>
        <w:gridCol w:w="9957"/>
      </w:tblGrid>
      <w:tr>
        <w:trPr/>
        <w:tc>
          <w:tcPr>
            <w:tcW w:w="75"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4.</w:t>
            </w:r>
          </w:p>
        </w:tc>
        <w:tc>
          <w:tcPr>
            <w:tcW w:w="9957"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283"/>
              <w:jc w:val="both"/>
              <w:rPr/>
            </w:pPr>
            <w:r>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20-F for the fiscal year ended December 31, 2024 filed with the SEC on April 28, 2025, contains a description of our business and audited consolidated financial statements with a report by our independent auditors. These statements were prepared in accordance with U.S. GAAP.</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ZJK Industrial Co., Ltd.</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No.8, Jingqiang Road, 138 Industrial Zone,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Xiuxin Community, Kengzi Town,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Pingshan New Area, Shenzhen</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 518122</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+86-0755-28341175</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30</w:t>
      </w:r>
    </w:p>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WHERE YOU CAN FIND ADDITIONAL INFORMATION</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electronically filed with the SEC can be inspected over the Internet at the SEC’s website at www.sec.gov.</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ENFORCEABILITY OF CIVIL LIABILITIES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as an exempted company with limited liability. We are incorporated in the Cayman Islands in order to enjoy the following benefits: (a) political and economic stability; (b) an effective judicial system; (c) a favorable tax system; (d) the absence of exchange control or currency restrictions; and (e) the availability of professional and support services. However, certain disadvantages accompany incorporation in the Cayman Islands. These disadvantages include:</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Cayman Islands has a less exhaustive body of securities laws than the United States and these securities laws provide significantly less protection to investors; and</w:t>
            </w:r>
          </w:p>
        </w:tc>
      </w:tr>
    </w:tbl>
    <w:p>
      <w:pPr>
        <w:pStyle w:val="TextBody"/>
        <w:bidi w:val="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pPr>
            <w:r>
              <w:rPr/>
              <w:t>Cayman Islands companies may not have standing to sue before the federal courts of the United States.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among us, our officers, directors and shareholders, be arbitrated.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 substantial amount of our operations in China, and a substantial amount of our assets are located in China. A majority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shareholder to enforce judgments obtained in U.S. courts based on the civil liability provisions of the U.S. federal securities laws against us and our executive officers and directors.</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31</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as our agent upon whom process may be served in any action brought against us under the securities laws of the United States.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(Cayman) LLP, our counsel with respect to the laws of the Cayman Islands, has advised us that the courts of the Cayman Islands are unlikely (i) to recognize or enforce against us, judgments of the United States courts obtained against us or our directors or officers predicated upon the civil liability provisions of the securities laws of the United States or any state in the United States; or (ii) in original actions brought in the Cayman Islands, to impose liabilities against us or our directors or officers predicated upon the civil liability provisions of the securities laws of the United States or any state in the United States, so far as the liabilities imposed by those provisions are penal in nature.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Ogier (Cayman) LLP has further advised us that, in those circumstances, although there is currently no statutory enforcement or treaty between the United States and the Cayman Islands providing for enforcement of judgments, the courts of the Cayman Islands may recognize and enforce a foreign money judgment of a foreign court of competent jurisdiction without a retrial on the merits based on the principle that a judgment of a competent foreign court imposes upon the judgment debtor an obligation to pay the amount for which the judgment was issued, provided certain conditions are met. For a foreign judgment to be enforced in the Cayman Islands, such judgment must be final and conclusive, given by a court of competent jurisdiction (the courts of the Cayman Islands will apply the rules of Cayman Islands private international law to determine whether the foreign court is a court of competent jurisdiction), and must not be in respect of taxes, a fine, or a penalty, inconsistent with a Cayman Islands judgment on the same matter, impeachable on the grounds of fraud, or obtained in a manner or of a kind that would be contrary to natural justice or the public policy of the Cayman Islands. Furthermore, it is uncertain that Cayman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Ogier (Cayman) LLP has informed us that there is uncertainty with regard to Cayman Islands law relating to whether a judgment obtained from the U.S. courts under civil liability provisions of the securities laws will be determined by the courts of the Cayman Islands as penal or punitive in nature. A Cayman Islands court may stay enforcement proceedings if concurrent proceedings are being brought elsewhere.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legal counsel, Global Law Office, has advised us that there is uncertainty as to whether PRC courts would (i) recognize or enforce judgments of United States courts obtained against us or our directors or officers predicated upon the civil liability provisions of the securities laws of the United States or any state in the United States, or (ii) entertain original actions brought in each respective jurisdiction against us or our directors or officers predicated upon the securities laws of the United States or any state in the United States. Our PRC legal counsel, Global Law Office, has advised us that the PRC Civil Procedures Law governs the recognition and enforcement of foreign judgments. PRC courts may recognize and enforce foreign judgments in accordance with the PRC Civil Procedures Law based either on treaties between China and the country where the judgment is made or on principles of reciprocity between jurisdictions. The PRC does not have any treaties or other agreements with the United States or the Cayman Islands that provide for the reciprocal recognition and enforcement of foreign judgments. According to the PRC Civil Procedures Law, courts in the PRC will not enforce a foreign judgment against us or our directors and officers if they determine that the judgment violates the basic principles of PRC law or national sovereignty, security or public interest. As a result, it is uncertain whether a PRC court would enforce a judgment rendered by a court in the United States or the Cayman Islands. Under the PRC Civil Procedures Law, foreign shareholders may originate actions based on PRC law against us in the PRC,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difficult for U.S. shareholders to originate actions against us in China in accordance with PRC laws because we are incorporated under the laws of the Cayman Islands and it will be difficult for U.S. shareholders, by virtue only of holding our ordinary shares, to establish a connection to China for a PRC court to have jurisdiction as required under the PRC Civil Procedures Law.</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32</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the consequences of committing a crime, or against the indemnified person’s own fraud or dishonesty. Our amended and restated articles of association provide to the extent permitted by law, we shall indemnify each existing or former secretary, director (including alternate director), and any of our other officers (including an investment adviser or an administrator or liquidator) and their personal representatives against: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all actions, proceedings, costs, charges, expenses, losses, damages, or liabilities incurred or sustained by the existing or former director (including alternate director), secretary, or officer in or about the conduct of our business or affairs or in the execution or discharge of the existing or former director (including alternate director), secretary’s or officer’s duties, powers, authorities, or discretions; and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b/>
        <w:t>without limitation to paragraph (a) above,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us or our affairs in any court or tribunal, whether in the Cayman Islands or elsewhere.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willful default, fraud or willful neglect. See our Amended and Restated Memorandum and Articles of Association filed as Exhibit 4.1 to this registration statement.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49"/>
        <w:gridCol w:w="93"/>
        <w:gridCol w:w="9063"/>
      </w:tblGrid>
      <w:tr>
        <w:trPr/>
        <w:tc>
          <w:tcPr>
            <w:tcW w:w="1049" w:type="dxa"/>
            <w:tcBorders>
              <w:bottom w:val="single" w:sz="8" w:space="0" w:color="000000"/>
            </w:tcBorders>
            <w:vAlign w:val="center"/>
          </w:tcPr>
          <w:p>
            <w:pPr>
              <w:pStyle w:val="TableContents"/>
              <w:bidi w:val="0"/>
              <w:spacing w:before="0" w:after="283"/>
              <w:jc w:val="left"/>
              <w:rPr/>
            </w:pPr>
            <w:r>
              <w:rPr>
                <w:b/>
              </w:rPr>
              <w:t>Exhibit No.</w:t>
            </w:r>
            <w:r>
              <w:rPr/>
              <w:t xml:space="preserve"> </w:t>
            </w:r>
          </w:p>
        </w:tc>
        <w:tc>
          <w:tcPr>
            <w:tcW w:w="93" w:type="dxa"/>
            <w:tcBorders/>
            <w:tcMar>
              <w:bottom w:w="0" w:type="dxa"/>
            </w:tcMar>
            <w:vAlign w:val="center"/>
          </w:tcPr>
          <w:p>
            <w:pPr>
              <w:pStyle w:val="TableContents"/>
              <w:bidi w:val="0"/>
              <w:spacing w:before="0" w:after="283"/>
              <w:jc w:val="left"/>
              <w:rPr/>
            </w:pPr>
            <w:r>
              <w:rPr/>
              <w:t xml:space="preserve">  </w:t>
            </w:r>
          </w:p>
        </w:tc>
        <w:tc>
          <w:tcPr>
            <w:tcW w:w="9063" w:type="dxa"/>
            <w:tcBorders>
              <w:bottom w:val="single" w:sz="8" w:space="0" w:color="000000"/>
            </w:tcBorders>
            <w:vAlign w:val="center"/>
          </w:tcPr>
          <w:p>
            <w:pPr>
              <w:pStyle w:val="TableContents"/>
              <w:bidi w:val="0"/>
              <w:spacing w:before="0" w:after="283"/>
              <w:jc w:val="left"/>
              <w:rPr/>
            </w:pPr>
            <w:r>
              <w:rPr>
                <w:b/>
              </w:rPr>
              <w:t>Description</w:t>
            </w:r>
            <w:r>
              <w:rPr/>
              <w:t xml:space="preserv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1.1*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r>
              <w:rPr/>
              <w:t xml:space="preserve">Form of Underwriting Agreement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3.1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Third Amended and Restated Memorandum and Articles of Association (incorporated herein by reference to Exhibit 3.1 to our Report on Form 6-K filed with the SEC on March 17, 2026)</w:t>
              </w:r>
            </w:hyperlink>
            <w:r>
              <w:rPr>
                <w:rFonts w:ascii="Times New Roman;Times;Serif" w:hAnsi="Times New Roman;Times;Serif"/>
                <w:b w:val="false"/>
                <w:i w:val="false"/>
                <w:caps w:val="false"/>
                <w:smallCaps w:val="false"/>
                <w:sz w:val="20"/>
              </w:rPr>
              <w:t xml:space="preserv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4.1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hyperlink w:anchor="e7482_ex4-1.htm">
              <w:r>
                <w:rPr>
                  <w:rStyle w:val="InternetLink"/>
                </w:rPr>
                <w:t>Registrant’s Specimen Certificate for Class A Ordinary Shares</w:t>
              </w:r>
            </w:hyperlink>
            <w:r>
              <w:rPr/>
              <w:t xml:space="preserve">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4.2*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r>
              <w:rPr/>
              <w:t xml:space="preserve">Form of Warrant Agreement and Warrant Certificate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4.3*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r>
              <w:rPr/>
              <w:t xml:space="preserve">Form of Right Agreement and Right Certificate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4.4*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r>
              <w:rPr/>
              <w:t xml:space="preserve">Form of Unit Agreement and Unit Certificate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5.1**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hyperlink r:id="rId5">
              <w:r>
                <w:rPr>
                  <w:rStyle w:val="InternetLink"/>
                </w:rPr>
                <w:t>Opinion of Ogier as to the legality of the securities being registered </w:t>
              </w:r>
            </w:hyperlink>
            <w:r>
              <w:rPr/>
              <w:t xml:space="preserve">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5.2**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hyperlink r:id="rId6">
              <w:r>
                <w:rPr>
                  <w:rStyle w:val="InternetLink"/>
                </w:rPr>
                <w:t>Opinion of Global Law Office regarding certain PRC law matters</w:t>
              </w:r>
            </w:hyperlink>
            <w:r>
              <w:rPr/>
              <w:t xml:space="preserv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23.1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hyperlink w:anchor="e7482_ex23-1.htm">
              <w:r>
                <w:rPr>
                  <w:rStyle w:val="InternetLink"/>
                </w:rPr>
                <w:t>Consent of TPS Thayer, LLC</w:t>
              </w:r>
            </w:hyperlink>
            <w:r>
              <w:rPr/>
              <w:t xml:space="preserve">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23.2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hyperlink w:anchor="e7482_ex23-2.htm">
              <w:r>
                <w:rPr>
                  <w:rStyle w:val="InternetLink"/>
                </w:rPr>
                <w:t>Consent of HTL International, LLC</w:t>
              </w:r>
            </w:hyperlink>
            <w:r>
              <w:rPr/>
              <w:t xml:space="preserv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23.3**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hyperlink r:id="rId7">
              <w:r>
                <w:rPr>
                  <w:rStyle w:val="InternetLink"/>
                </w:rPr>
                <w:t>Consent of Ogier (included in Exhibit 5.1) </w:t>
              </w:r>
            </w:hyperlink>
            <w:r>
              <w:rPr/>
              <w:t xml:space="preserve">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23.4**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hyperlink r:id="rId8">
              <w:r>
                <w:rPr>
                  <w:rStyle w:val="InternetLink"/>
                </w:rPr>
                <w:t>Consent of Global Law Office (included in Exhibit 5.2) </w:t>
              </w:r>
            </w:hyperlink>
            <w:r>
              <w:rPr/>
              <w:t xml:space="preserve"> </w:t>
            </w:r>
          </w:p>
        </w:tc>
      </w:tr>
      <w:tr>
        <w:trPr/>
        <w:tc>
          <w:tcPr>
            <w:tcW w:w="1049" w:type="dxa"/>
            <w:tcBorders/>
            <w:shd w:fill="CCEEFF" w:val="clear"/>
            <w:tcMar>
              <w:bottom w:w="0" w:type="dxa"/>
            </w:tcMar>
            <w:vAlign w:val="center"/>
          </w:tcPr>
          <w:p>
            <w:pPr>
              <w:pStyle w:val="TableContents"/>
              <w:bidi w:val="0"/>
              <w:spacing w:before="0" w:after="283"/>
              <w:jc w:val="left"/>
              <w:rPr/>
            </w:pPr>
            <w:r>
              <w:rPr/>
              <w:t xml:space="preserve">24.1 </w:t>
            </w:r>
          </w:p>
        </w:tc>
        <w:tc>
          <w:tcPr>
            <w:tcW w:w="93" w:type="dxa"/>
            <w:tcBorders/>
            <w:shd w:fill="CCEEFF" w:val="clear"/>
            <w:tcMar>
              <w:bottom w:w="0" w:type="dxa"/>
            </w:tcMar>
            <w:vAlign w:val="center"/>
          </w:tcPr>
          <w:p>
            <w:pPr>
              <w:pStyle w:val="TableContents"/>
              <w:bidi w:val="0"/>
              <w:spacing w:before="0" w:after="283"/>
              <w:jc w:val="left"/>
              <w:rPr/>
            </w:pPr>
            <w:r>
              <w:rPr/>
              <w:t xml:space="preserve">  </w:t>
            </w:r>
          </w:p>
        </w:tc>
        <w:tc>
          <w:tcPr>
            <w:tcW w:w="9063" w:type="dxa"/>
            <w:tcBorders/>
            <w:shd w:fill="CCEEFF" w:val="clear"/>
            <w:tcMar>
              <w:bottom w:w="0" w:type="dxa"/>
            </w:tcMar>
            <w:vAlign w:val="center"/>
          </w:tcPr>
          <w:p>
            <w:pPr>
              <w:pStyle w:val="TableContents"/>
              <w:bidi w:val="0"/>
              <w:spacing w:before="0" w:after="283"/>
              <w:jc w:val="both"/>
              <w:rPr/>
            </w:pPr>
            <w:hyperlink w:anchor="POA">
              <w:r>
                <w:rPr>
                  <w:rStyle w:val="InternetLink"/>
                </w:rPr>
                <w:t>Powers of Attorney (included on signature page)</w:t>
              </w:r>
            </w:hyperlink>
            <w:r>
              <w:rPr/>
              <w:t xml:space="preserve"> </w:t>
            </w:r>
          </w:p>
        </w:tc>
      </w:tr>
      <w:tr>
        <w:trPr/>
        <w:tc>
          <w:tcPr>
            <w:tcW w:w="1049" w:type="dxa"/>
            <w:tcBorders/>
            <w:shd w:fill="FFFFFF" w:val="clear"/>
            <w:tcMar>
              <w:bottom w:w="0" w:type="dxa"/>
            </w:tcMar>
            <w:vAlign w:val="center"/>
          </w:tcPr>
          <w:p>
            <w:pPr>
              <w:pStyle w:val="TableContents"/>
              <w:bidi w:val="0"/>
              <w:spacing w:before="0" w:after="283"/>
              <w:jc w:val="left"/>
              <w:rPr/>
            </w:pPr>
            <w:r>
              <w:rPr/>
              <w:t xml:space="preserve">107** </w:t>
            </w:r>
          </w:p>
        </w:tc>
        <w:tc>
          <w:tcPr>
            <w:tcW w:w="93" w:type="dxa"/>
            <w:tcBorders/>
            <w:shd w:fill="FFFFFF" w:val="clear"/>
            <w:tcMar>
              <w:bottom w:w="0" w:type="dxa"/>
            </w:tcMar>
            <w:vAlign w:val="center"/>
          </w:tcPr>
          <w:p>
            <w:pPr>
              <w:pStyle w:val="TableContents"/>
              <w:bidi w:val="0"/>
              <w:spacing w:before="0" w:after="283"/>
              <w:jc w:val="left"/>
              <w:rPr/>
            </w:pPr>
            <w:r>
              <w:rPr/>
              <w:t xml:space="preserve">  </w:t>
            </w:r>
          </w:p>
        </w:tc>
        <w:tc>
          <w:tcPr>
            <w:tcW w:w="9063" w:type="dxa"/>
            <w:tcBorders/>
            <w:shd w:fill="FFFFFF" w:val="clear"/>
            <w:tcMar>
              <w:bottom w:w="0" w:type="dxa"/>
            </w:tcMar>
            <w:vAlign w:val="center"/>
          </w:tcPr>
          <w:p>
            <w:pPr>
              <w:pStyle w:val="TableContents"/>
              <w:bidi w:val="0"/>
              <w:spacing w:before="0" w:after="283"/>
              <w:jc w:val="both"/>
              <w:rPr/>
            </w:pPr>
            <w:hyperlink r:id="rId9">
              <w:r>
                <w:rPr>
                  <w:rStyle w:val="InternetLink"/>
                </w:rPr>
                <w:t>Filing Fee Table </w:t>
              </w:r>
            </w:hyperlink>
            <w:r>
              <w:rPr/>
              <w:t xml:space="preserve">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pPr>
            <w:r>
              <w:rPr/>
              <w:t>To be filed, if applicable, by amendment or as an exhibit to a report filed pursuant to Section 13(a) or 15(d) of the Securities Exchange Act of 1934, as amended, and incorporated herein by reference.</w:t>
            </w:r>
          </w:p>
        </w:tc>
      </w:tr>
      <w:tr>
        <w:trPr/>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Previously filed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33</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275"/>
        <w:gridCol w:w="44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4400" w:type="dxa"/>
            <w:tcBorders/>
            <w:vAlign w:val="center"/>
          </w:tcPr>
          <w:p>
            <w:pPr>
              <w:pStyle w:val="TableContents"/>
              <w:bidi w:val="0"/>
              <w:spacing w:before="0" w:after="283"/>
              <w:jc w:val="both"/>
              <w:rPr/>
            </w:pPr>
            <w:r>
              <w:rPr/>
              <w:t>The undersigned registrant hereby undertakes: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(1)</w:t>
            </w:r>
          </w:p>
        </w:tc>
        <w:tc>
          <w:tcPr>
            <w:tcW w:w="9854"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30"/>
        <w:gridCol w:w="80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8090" w:type="dxa"/>
            <w:tcBorders/>
            <w:vAlign w:val="center"/>
          </w:tcPr>
          <w:p>
            <w:pPr>
              <w:pStyle w:val="TableContents"/>
              <w:bidi w:val="0"/>
              <w:spacing w:before="0" w:after="283"/>
              <w:jc w:val="both"/>
              <w:rPr/>
            </w:pPr>
            <w:r>
              <w:rPr/>
              <w:t>To include any prospectus required by Section 10(a)(3) of the Securities Act of 1933;</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1"/>
        <w:gridCol w:w="9819"/>
      </w:tblGrid>
      <w:tr>
        <w:trPr/>
        <w:tc>
          <w:tcPr>
            <w:tcW w:w="75"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(iii)</w:t>
            </w:r>
          </w:p>
        </w:tc>
        <w:tc>
          <w:tcPr>
            <w:tcW w:w="9819"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ind w:left="720" w:right="0" w:hanging="0"/>
        <w:jc w:val="left"/>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(2)</w:t>
            </w:r>
          </w:p>
        </w:tc>
        <w:tc>
          <w:tcPr>
            <w:tcW w:w="9893" w:type="dxa"/>
            <w:tcBorders/>
            <w:vAlign w:val="center"/>
          </w:tcPr>
          <w:p>
            <w:pPr>
              <w:pStyle w:val="TableContents"/>
              <w:bidi w:val="0"/>
              <w:spacing w:before="0" w:after="283"/>
              <w:jc w:val="both"/>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(3)</w:t>
            </w:r>
          </w:p>
        </w:tc>
        <w:tc>
          <w:tcPr>
            <w:tcW w:w="9869"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283"/>
              <w:jc w:val="both"/>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this registration statement.</w:t>
            </w:r>
          </w:p>
        </w:tc>
      </w:tr>
    </w:tbl>
    <w:p>
      <w:pPr>
        <w:pStyle w:val="TextBody"/>
        <w:bidi w:val="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90"/>
        <w:gridCol w:w="90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(5)</w:t>
            </w:r>
          </w:p>
        </w:tc>
        <w:tc>
          <w:tcPr>
            <w:tcW w:w="9020" w:type="dxa"/>
            <w:tcBorders/>
            <w:vAlign w:val="center"/>
          </w:tcPr>
          <w:p>
            <w:pPr>
              <w:pStyle w:val="TableContents"/>
              <w:bidi w:val="0"/>
              <w:spacing w:before="0" w:after="283"/>
              <w:jc w:val="both"/>
              <w:rPr/>
            </w:pPr>
            <w:r>
              <w:rPr/>
              <w:t>That, for the purpose of determining liability under the Securities Act of 1933 to any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(i)</w:t>
            </w:r>
          </w:p>
        </w:tc>
        <w:tc>
          <w:tcPr>
            <w:tcW w:w="9942"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34</w:t>
      </w:r>
    </w:p>
    <w:p>
      <w:pPr>
        <w:pStyle w:val="TextBody"/>
        <w:bidi w:val="0"/>
        <w:spacing w:before="0" w:after="0"/>
        <w:ind w:left="0" w:right="0" w:hanging="0"/>
        <w:jc w:val="left"/>
        <w:rPr/>
      </w:pPr>
      <w:r>
        <w:rPr/>
        <w:t> </w:t>
      </w:r>
    </w:p>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(ii)</w:t>
            </w:r>
          </w:p>
        </w:tc>
        <w:tc>
          <w:tcPr>
            <w:tcW w:w="9911"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i/>
              </w:rPr>
              <w:t>Provided</w:t>
            </w:r>
            <w:r>
              <w:rPr/>
              <w:t xml:space="preserve">, </w:t>
            </w:r>
            <w:r>
              <w:rPr>
                <w:i/>
              </w:rPr>
              <w:t>however</w:t>
            </w:r>
            <w:r>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both"/>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(i)</w:t>
            </w:r>
          </w:p>
        </w:tc>
        <w:tc>
          <w:tcPr>
            <w:tcW w:w="9919"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2"/>
        <w:gridCol w:w="9868"/>
      </w:tblGrid>
      <w:tr>
        <w:trPr/>
        <w:tc>
          <w:tcPr>
            <w:tcW w:w="7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(ii)</w:t>
            </w:r>
          </w:p>
        </w:tc>
        <w:tc>
          <w:tcPr>
            <w:tcW w:w="9868"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9"/>
        <w:gridCol w:w="9821"/>
      </w:tblGrid>
      <w:tr>
        <w:trPr/>
        <w:tc>
          <w:tcPr>
            <w:tcW w:w="75"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(iii)</w:t>
            </w:r>
          </w:p>
        </w:tc>
        <w:tc>
          <w:tcPr>
            <w:tcW w:w="9821"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45"/>
        <w:gridCol w:w="9785"/>
      </w:tblGrid>
      <w:tr>
        <w:trPr/>
        <w:tc>
          <w:tcPr>
            <w:tcW w:w="75"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(iv)</w:t>
            </w:r>
          </w:p>
        </w:tc>
        <w:tc>
          <w:tcPr>
            <w:tcW w:w="9785"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(c)</w:t>
            </w:r>
          </w:p>
        </w:tc>
        <w:tc>
          <w:tcPr>
            <w:tcW w:w="9924"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35</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Shenzhen, PRC, on March 23, 2026. </w:t>
      </w:r>
    </w:p>
    <w:p>
      <w:pPr>
        <w:pStyle w:val="TextBody"/>
        <w:bidi w:val="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75"/>
        <w:gridCol w:w="365"/>
        <w:gridCol w:w="710"/>
        <w:gridCol w:w="2300"/>
      </w:tblGrid>
      <w:tr>
        <w:trPr/>
        <w:tc>
          <w:tcPr>
            <w:tcW w:w="75" w:type="dxa"/>
            <w:tcBorders/>
            <w:vAlign w:val="center"/>
          </w:tcPr>
          <w:p>
            <w:pPr>
              <w:pStyle w:val="TableContents"/>
              <w:bidi w:val="0"/>
              <w:spacing w:before="0" w:after="283"/>
              <w:jc w:val="left"/>
              <w:rPr/>
            </w:pPr>
            <w:r>
              <w:rPr/>
              <w:t> </w:t>
            </w:r>
          </w:p>
        </w:tc>
        <w:tc>
          <w:tcPr>
            <w:tcW w:w="3375" w:type="dxa"/>
            <w:gridSpan w:val="3"/>
            <w:tcBorders/>
            <w:vAlign w:val="center"/>
          </w:tcPr>
          <w:p>
            <w:pPr>
              <w:pStyle w:val="TableContents"/>
              <w:bidi w:val="0"/>
              <w:spacing w:before="0" w:after="283"/>
              <w:jc w:val="left"/>
              <w:rPr>
                <w:b/>
              </w:rPr>
            </w:pPr>
            <w:r>
              <w:rPr>
                <w:b/>
              </w:rPr>
              <w:t>ZJK Industrial Co.,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Ning Ding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2300" w:type="dxa"/>
            <w:tcBorders/>
            <w:vAlign w:val="center"/>
          </w:tcPr>
          <w:p>
            <w:pPr>
              <w:pStyle w:val="TableContents"/>
              <w:bidi w:val="0"/>
              <w:spacing w:before="0" w:after="283"/>
              <w:jc w:val="left"/>
              <w:rPr/>
            </w:pPr>
            <w:r>
              <w:rPr/>
              <w:t>Ning Ding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Title: </w:t>
            </w:r>
          </w:p>
        </w:tc>
        <w:tc>
          <w:tcPr>
            <w:tcW w:w="2300" w:type="dxa"/>
            <w:tcBorders/>
            <w:vAlign w:val="center"/>
          </w:tcPr>
          <w:p>
            <w:pPr>
              <w:pStyle w:val="TableContents"/>
              <w:bidi w:val="0"/>
              <w:spacing w:before="0" w:after="283"/>
              <w:jc w:val="left"/>
              <w:rPr/>
            </w:pPr>
            <w:r>
              <w:rPr/>
              <w:t>Chief Executive Officer</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POA"/>
      <w:bookmarkEnd w:id="25"/>
      <w:r>
        <w:rPr>
          <w:rFonts w:ascii="Times New Roman;Times;Serif" w:hAnsi="Times New Roman;Times;Serif"/>
          <w:b/>
          <w:i w:val="false"/>
          <w:caps w:val="false"/>
          <w:smallCaps w:val="false"/>
          <w:sz w:val="20"/>
        </w:rPr>
        <w:t>Power of Attorney</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constitutes and appoints Ning Ding his true and lawful attorneys-in-fact and agents, with full power of substitution and re-substitution, in his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U.S.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31"/>
        <w:gridCol w:w="110"/>
        <w:gridCol w:w="6992"/>
        <w:gridCol w:w="110"/>
        <w:gridCol w:w="1262"/>
      </w:tblGrid>
      <w:tr>
        <w:trPr/>
        <w:tc>
          <w:tcPr>
            <w:tcW w:w="1731"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Signature</w:t>
            </w:r>
            <w:r>
              <w:rPr>
                <w:rFonts w:ascii="Times New Roman;Times;Serif" w:hAnsi="Times New Roman;Times;Serif"/>
                <w:sz w:val="20"/>
              </w:rPr>
              <w:t> </w:t>
            </w:r>
            <w:r>
              <w:rPr/>
              <w:t xml:space="preserve"> </w:t>
            </w:r>
          </w:p>
        </w:tc>
        <w:tc>
          <w:tcPr>
            <w:tcW w:w="110" w:type="dxa"/>
            <w:tcBorders/>
            <w:tcMar>
              <w:bottom w:w="0" w:type="dxa"/>
            </w:tcMar>
            <w:vAlign w:val="center"/>
          </w:tcPr>
          <w:p>
            <w:pPr>
              <w:pStyle w:val="TableContents"/>
              <w:bidi w:val="0"/>
              <w:spacing w:before="0" w:after="283"/>
              <w:jc w:val="center"/>
              <w:rPr/>
            </w:pPr>
            <w:r>
              <w:rPr/>
              <w:t xml:space="preserve">  </w:t>
            </w:r>
          </w:p>
        </w:tc>
        <w:tc>
          <w:tcPr>
            <w:tcW w:w="6992"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Title</w:t>
            </w:r>
            <w:r>
              <w:rPr>
                <w:rFonts w:ascii="Times New Roman;Times;Serif" w:hAnsi="Times New Roman;Times;Serif"/>
                <w:sz w:val="20"/>
              </w:rPr>
              <w:t> </w:t>
            </w:r>
            <w:r>
              <w:rPr/>
              <w:t xml:space="preserve"> </w:t>
            </w:r>
          </w:p>
        </w:tc>
        <w:tc>
          <w:tcPr>
            <w:tcW w:w="110" w:type="dxa"/>
            <w:tcBorders/>
            <w:tcMar>
              <w:bottom w:w="0" w:type="dxa"/>
            </w:tcMar>
            <w:vAlign w:val="center"/>
          </w:tcPr>
          <w:p>
            <w:pPr>
              <w:pStyle w:val="TableContents"/>
              <w:bidi w:val="0"/>
              <w:spacing w:before="0" w:after="283"/>
              <w:jc w:val="center"/>
              <w:rPr/>
            </w:pPr>
            <w:r>
              <w:rPr/>
              <w:t xml:space="preserve">  </w:t>
            </w:r>
          </w:p>
        </w:tc>
        <w:tc>
          <w:tcPr>
            <w:tcW w:w="1262"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Date</w:t>
            </w:r>
            <w:r>
              <w:rPr>
                <w:rFonts w:ascii="Times New Roman;Times;Serif" w:hAnsi="Times New Roman;Times;Serif"/>
                <w:sz w:val="20"/>
              </w:rPr>
              <w:t> </w:t>
            </w:r>
            <w:r>
              <w:rPr/>
              <w:t xml:space="preserve"> </w:t>
            </w:r>
          </w:p>
        </w:tc>
      </w:tr>
      <w:tr>
        <w:trPr/>
        <w:tc>
          <w:tcPr>
            <w:tcW w:w="1731"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/s/ Ning Ding</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rFonts w:ascii="Times New Roman;Times;Serif" w:hAnsi="Times New Roman;Times;Serif"/>
                <w:sz w:val="20"/>
              </w:rPr>
              <w:t>Chief Executive Officer, Chief Financial Officer, Chairman of the Board of Directors, and Director  </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center"/>
              <w:rPr/>
            </w:pPr>
            <w:r>
              <w:rPr>
                <w:rFonts w:ascii="Times New Roman;Times;Serif" w:hAnsi="Times New Roman;Times;Serif"/>
                <w:sz w:val="20"/>
              </w:rPr>
              <w:t>March 23, 2026</w:t>
            </w:r>
            <w:r>
              <w:rPr/>
              <w:t xml:space="preserve"> </w:t>
            </w:r>
          </w:p>
        </w:tc>
      </w:tr>
      <w:tr>
        <w:trPr/>
        <w:tc>
          <w:tcPr>
            <w:tcW w:w="1731" w:type="dxa"/>
            <w:tcBorders/>
            <w:tcMar>
              <w:bottom w:w="0" w:type="dxa"/>
            </w:tcMar>
            <w:vAlign w:val="center"/>
          </w:tcPr>
          <w:p>
            <w:pPr>
              <w:pStyle w:val="TableContents"/>
              <w:bidi w:val="0"/>
              <w:spacing w:before="0" w:after="283"/>
              <w:jc w:val="left"/>
              <w:rPr/>
            </w:pPr>
            <w:r>
              <w:rPr>
                <w:rFonts w:ascii="Times New Roman;Times;Serif" w:hAnsi="Times New Roman;Times;Serif"/>
                <w:sz w:val="20"/>
              </w:rPr>
              <w:t>Name: Ning Ding </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rFonts w:ascii="Times New Roman;Times;Serif" w:hAnsi="Times New Roman;Times;Serif"/>
                <w:sz w:val="20"/>
              </w:rPr>
              <w:t>(Principal Executive Officer and Principal Financial Officer)</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rFonts w:ascii="Times New Roman;Times;Serif" w:hAnsi="Times New Roman;Times;Serif"/>
                <w:sz w:val="20"/>
              </w:rPr>
              <w:t>Director </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23, 2026 </w:t>
            </w:r>
          </w:p>
        </w:tc>
      </w:tr>
      <w:tr>
        <w:trPr/>
        <w:tc>
          <w:tcPr>
            <w:tcW w:w="1731" w:type="dxa"/>
            <w:tcBorders/>
            <w:tcMar>
              <w:bottom w:w="0" w:type="dxa"/>
            </w:tcMar>
            <w:vAlign w:val="center"/>
          </w:tcPr>
          <w:p>
            <w:pPr>
              <w:pStyle w:val="TableContents"/>
              <w:bidi w:val="0"/>
              <w:spacing w:before="0" w:after="283"/>
              <w:jc w:val="left"/>
              <w:rPr/>
            </w:pPr>
            <w:r>
              <w:rPr>
                <w:rFonts w:ascii="Times New Roman;Times;Serif" w:hAnsi="Times New Roman;Times;Serif"/>
                <w:sz w:val="20"/>
              </w:rPr>
              <w:t>Name: Kai Huang</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rFonts w:ascii="Times New Roman;Times;Serif" w:hAnsi="Times New Roman;Times;Serif"/>
                <w:sz w:val="20"/>
              </w:rPr>
              <w:t>Independent Director </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23, 2026 </w:t>
            </w:r>
          </w:p>
        </w:tc>
      </w:tr>
      <w:tr>
        <w:trPr/>
        <w:tc>
          <w:tcPr>
            <w:tcW w:w="1731" w:type="dxa"/>
            <w:tcBorders/>
            <w:tcMar>
              <w:bottom w:w="0" w:type="dxa"/>
            </w:tcMar>
            <w:vAlign w:val="center"/>
          </w:tcPr>
          <w:p>
            <w:pPr>
              <w:pStyle w:val="TableContents"/>
              <w:bidi w:val="0"/>
              <w:spacing w:before="0" w:after="283"/>
              <w:jc w:val="left"/>
              <w:rPr/>
            </w:pPr>
            <w:r>
              <w:rPr>
                <w:rFonts w:ascii="Times New Roman;Times;Serif" w:hAnsi="Times New Roman;Times;Serif"/>
                <w:sz w:val="20"/>
              </w:rPr>
              <w:t>Name: Ming Tak Tam</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rFonts w:ascii="Times New Roman;Times;Serif" w:hAnsi="Times New Roman;Times;Serif"/>
                <w:sz w:val="20"/>
              </w:rPr>
              <w:t>Independent Director </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23, 2026 </w:t>
            </w:r>
          </w:p>
        </w:tc>
      </w:tr>
      <w:tr>
        <w:trPr/>
        <w:tc>
          <w:tcPr>
            <w:tcW w:w="1731" w:type="dxa"/>
            <w:tcBorders/>
            <w:tcMar>
              <w:bottom w:w="0" w:type="dxa"/>
            </w:tcMar>
            <w:vAlign w:val="center"/>
          </w:tcPr>
          <w:p>
            <w:pPr>
              <w:pStyle w:val="TableContents"/>
              <w:bidi w:val="0"/>
              <w:spacing w:before="0" w:after="283"/>
              <w:jc w:val="left"/>
              <w:rPr/>
            </w:pPr>
            <w:r>
              <w:rPr>
                <w:rFonts w:ascii="Times New Roman;Times;Serif" w:hAnsi="Times New Roman;Times;Serif"/>
                <w:sz w:val="20"/>
              </w:rPr>
              <w:t>Name: Haofeng Gao</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r>
        <w:trPr/>
        <w:tc>
          <w:tcPr>
            <w:tcW w:w="1731" w:type="dxa"/>
            <w:tcBorders>
              <w:bottom w:val="single" w:sz="8" w:space="0" w:color="000000"/>
            </w:tcBorders>
            <w:vAlign w:val="center"/>
          </w:tcPr>
          <w:p>
            <w:pPr>
              <w:pStyle w:val="TableContents"/>
              <w:bidi w:val="0"/>
              <w:spacing w:before="0" w:after="283"/>
              <w:jc w:val="left"/>
              <w:rPr/>
            </w:pPr>
            <w:r>
              <w:rPr>
                <w:rFonts w:ascii="Times New Roman;Times;Serif" w:hAnsi="Times New Roman;Times;Serif"/>
                <w:sz w:val="20"/>
              </w:rPr>
              <w:t>*</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rFonts w:ascii="Times New Roman;Times;Serif" w:hAnsi="Times New Roman;Times;Serif"/>
                <w:sz w:val="20"/>
              </w:rPr>
              <w:t>Independent Director </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23, 2026 </w:t>
            </w:r>
          </w:p>
        </w:tc>
      </w:tr>
      <w:tr>
        <w:trPr/>
        <w:tc>
          <w:tcPr>
            <w:tcW w:w="1731" w:type="dxa"/>
            <w:tcBorders/>
            <w:tcMar>
              <w:bottom w:w="0" w:type="dxa"/>
            </w:tcMar>
            <w:vAlign w:val="center"/>
          </w:tcPr>
          <w:p>
            <w:pPr>
              <w:pStyle w:val="TableContents"/>
              <w:bidi w:val="0"/>
              <w:spacing w:before="0" w:after="283"/>
              <w:jc w:val="left"/>
              <w:rPr/>
            </w:pPr>
            <w:r>
              <w:rPr>
                <w:rFonts w:ascii="Times New Roman;Times;Serif" w:hAnsi="Times New Roman;Times;Serif"/>
                <w:sz w:val="20"/>
              </w:rPr>
              <w:t>Name: Rongfu Zheng</w:t>
            </w: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6992" w:type="dxa"/>
            <w:tcBorders/>
            <w:tcMar>
              <w:bottom w:w="0" w:type="dxa"/>
            </w:tcMar>
            <w:vAlign w:val="center"/>
          </w:tcPr>
          <w:p>
            <w:pPr>
              <w:pStyle w:val="TableContents"/>
              <w:bidi w:val="0"/>
              <w:spacing w:before="0" w:after="283"/>
              <w:jc w:val="left"/>
              <w:rPr/>
            </w:pPr>
            <w:r>
              <w:rPr/>
              <w:t xml:space="preserve">  </w:t>
            </w:r>
          </w:p>
        </w:tc>
        <w:tc>
          <w:tcPr>
            <w:tcW w:w="110" w:type="dxa"/>
            <w:tcBorders/>
            <w:tcMar>
              <w:bottom w:w="0" w:type="dxa"/>
            </w:tcMar>
            <w:vAlign w:val="center"/>
          </w:tcPr>
          <w:p>
            <w:pPr>
              <w:pStyle w:val="TableContents"/>
              <w:bidi w:val="0"/>
              <w:spacing w:before="0" w:after="283"/>
              <w:jc w:val="left"/>
              <w:rPr/>
            </w:pPr>
            <w:r>
              <w:rPr/>
              <w:t xml:space="preserve">  </w:t>
            </w:r>
          </w:p>
        </w:tc>
        <w:tc>
          <w:tcPr>
            <w:tcW w:w="1262" w:type="dxa"/>
            <w:tcBorders/>
            <w:tcMar>
              <w:bottom w:w="0" w:type="dxa"/>
            </w:tcMar>
            <w:vAlign w:val="center"/>
          </w:tcPr>
          <w:p>
            <w:pPr>
              <w:pStyle w:val="TableContents"/>
              <w:bidi w:val="0"/>
              <w:spacing w:before="0" w:after="283"/>
              <w:jc w:val="left"/>
              <w:rPr/>
            </w:pPr>
            <w:r>
              <w:rPr/>
              <w:t xml:space="preserve">  </w:t>
            </w:r>
          </w:p>
        </w:tc>
      </w:tr>
    </w:tbl>
    <w:p>
      <w:pPr>
        <w:pStyle w:val="TextBody"/>
        <w:bidi w:val="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620"/>
        <w:gridCol w:w="1475"/>
        <w:gridCol w:w="135"/>
      </w:tblGrid>
      <w:tr>
        <w:trPr/>
        <w:tc>
          <w:tcPr>
            <w:tcW w:w="620" w:type="dxa"/>
            <w:tcBorders/>
            <w:vAlign w:val="center"/>
          </w:tcPr>
          <w:p>
            <w:pPr>
              <w:pStyle w:val="TableContents"/>
              <w:bidi w:val="0"/>
              <w:spacing w:before="0" w:after="283"/>
              <w:jc w:val="left"/>
              <w:rPr/>
            </w:pPr>
            <w:r>
              <w:rPr>
                <w:rFonts w:ascii="Times New Roman;Times;Serif" w:hAnsi="Times New Roman;Times;Serif"/>
                <w:sz w:val="20"/>
              </w:rPr>
              <w:t>* By:</w:t>
            </w:r>
            <w:r>
              <w:rPr/>
              <w:t xml:space="preserve"> </w:t>
            </w:r>
          </w:p>
        </w:tc>
        <w:tc>
          <w:tcPr>
            <w:tcW w:w="1475" w:type="dxa"/>
            <w:tcBorders>
              <w:bottom w:val="single" w:sz="8" w:space="0" w:color="000000"/>
            </w:tcBorders>
            <w:tcMar>
              <w:bottom w:w="28" w:type="dxa"/>
            </w:tcMar>
            <w:vAlign w:val="center"/>
          </w:tcPr>
          <w:p>
            <w:pPr>
              <w:pStyle w:val="TableContents"/>
              <w:bidi w:val="0"/>
              <w:spacing w:before="0" w:after="283"/>
              <w:jc w:val="left"/>
              <w:rPr/>
            </w:pPr>
            <w:r>
              <w:rPr>
                <w:rFonts w:ascii="Times New Roman;Times;Serif" w:hAnsi="Times New Roman;Times;Serif"/>
                <w:sz w:val="20"/>
              </w:rPr>
              <w:t>/s/ Ning Ding</w:t>
              <w:tab/>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620" w:type="dxa"/>
            <w:tcBorders/>
            <w:vAlign w:val="center"/>
          </w:tcPr>
          <w:p>
            <w:pPr>
              <w:pStyle w:val="TableContents"/>
              <w:bidi w:val="0"/>
              <w:spacing w:before="0" w:after="283"/>
              <w:jc w:val="left"/>
              <w:rPr/>
            </w:pPr>
            <w:r>
              <w:rPr>
                <w:rFonts w:ascii="Times New Roman;Times;Serif" w:hAnsi="Times New Roman;Times;Serif"/>
                <w:sz w:val="20"/>
              </w:rPr>
              <w:t>Name:</w:t>
            </w:r>
            <w:r>
              <w:rPr/>
              <w:t xml:space="preserve"> </w:t>
            </w:r>
          </w:p>
        </w:tc>
        <w:tc>
          <w:tcPr>
            <w:tcW w:w="1475" w:type="dxa"/>
            <w:tcBorders/>
            <w:vAlign w:val="center"/>
          </w:tcPr>
          <w:p>
            <w:pPr>
              <w:pStyle w:val="TableContents"/>
              <w:bidi w:val="0"/>
              <w:spacing w:before="0" w:after="283"/>
              <w:jc w:val="left"/>
              <w:rPr/>
            </w:pPr>
            <w:r>
              <w:rPr>
                <w:rFonts w:ascii="Times New Roman;Times;Serif" w:hAnsi="Times New Roman;Times;Serif"/>
                <w:sz w:val="20"/>
              </w:rPr>
              <w:t>Ning Ding</w:t>
            </w:r>
            <w:r>
              <w:rPr/>
              <w:t xml:space="preserve"> </w:t>
            </w:r>
          </w:p>
        </w:tc>
        <w:tc>
          <w:tcPr>
            <w:tcW w:w="135" w:type="dxa"/>
            <w:tcBorders/>
            <w:vAlign w:val="center"/>
          </w:tcPr>
          <w:p>
            <w:pPr>
              <w:pStyle w:val="TableContents"/>
              <w:bidi w:val="0"/>
              <w:spacing w:before="0" w:after="283"/>
              <w:jc w:val="left"/>
              <w:rPr/>
            </w:pPr>
            <w:r>
              <w:rPr/>
              <w:t xml:space="preserve">  </w:t>
            </w:r>
          </w:p>
        </w:tc>
      </w:tr>
      <w:tr>
        <w:trPr/>
        <w:tc>
          <w:tcPr>
            <w:tcW w:w="620" w:type="dxa"/>
            <w:tcBorders/>
            <w:vAlign w:val="center"/>
          </w:tcPr>
          <w:p>
            <w:pPr>
              <w:pStyle w:val="TableContents"/>
              <w:bidi w:val="0"/>
              <w:spacing w:before="0" w:after="283"/>
              <w:jc w:val="left"/>
              <w:rPr/>
            </w:pPr>
            <w:r>
              <w:rPr>
                <w:rFonts w:ascii="Times New Roman;Times;Serif" w:hAnsi="Times New Roman;Times;Serif"/>
                <w:sz w:val="20"/>
              </w:rPr>
              <w:t>Title:</w:t>
            </w:r>
            <w:r>
              <w:rPr/>
              <w:t xml:space="preserve"> </w:t>
            </w:r>
          </w:p>
        </w:tc>
        <w:tc>
          <w:tcPr>
            <w:tcW w:w="1475" w:type="dxa"/>
            <w:tcBorders/>
            <w:vAlign w:val="center"/>
          </w:tcPr>
          <w:p>
            <w:pPr>
              <w:pStyle w:val="TableContents"/>
              <w:bidi w:val="0"/>
              <w:spacing w:before="0" w:after="283"/>
              <w:jc w:val="left"/>
              <w:rPr/>
            </w:pPr>
            <w:r>
              <w:rPr>
                <w:rFonts w:ascii="Times New Roman;Times;Serif" w:hAnsi="Times New Roman;Times;Serif"/>
                <w:sz w:val="20"/>
              </w:rPr>
              <w:t>Attorney-in-Fact </w:t>
            </w:r>
            <w:r>
              <w:rPr/>
              <w:t xml:space="preserve"> </w:t>
            </w:r>
          </w:p>
        </w:tc>
        <w:tc>
          <w:tcPr>
            <w:tcW w:w="135" w:type="dxa"/>
            <w:tcBorders/>
            <w:vAlign w:val="center"/>
          </w:tcPr>
          <w:p>
            <w:pPr>
              <w:pStyle w:val="TableContents"/>
              <w:bidi w:val="0"/>
              <w:spacing w:before="0" w:after="283"/>
              <w:jc w:val="left"/>
              <w:rPr/>
            </w:pPr>
            <w:r>
              <w:rPr/>
              <w:t xml:space="preserve">  </w:t>
            </w:r>
          </w:p>
        </w:tc>
      </w:tr>
    </w:tbl>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36</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Act of 1933 as amended, the undersigned, the duly authorized representative in the United States of America of ZJK Industrial Co., Ltd., has signed this registration statement thereto in New York, State of New York, United States, on March 23, 2026. </w:t>
      </w:r>
    </w:p>
    <w:p>
      <w:pPr>
        <w:pStyle w:val="TextBody"/>
        <w:bidi w:val="0"/>
        <w:jc w:val="both"/>
        <w:rPr>
          <w:caps w:val="false"/>
          <w:smallCaps w:val="false"/>
        </w:rPr>
      </w:pPr>
      <w:r>
        <w:rPr>
          <w:caps w:val="false"/>
          <w:smallCaps w:val="false"/>
        </w:rPr>
        <w:t> </w:t>
      </w:r>
    </w:p>
    <w:tbl>
      <w:tblPr>
        <w:tblW w:w="3064" w:type="dxa"/>
        <w:jc w:val="left"/>
        <w:tblInd w:w="0" w:type="dxa"/>
        <w:tblLayout w:type="fixed"/>
        <w:tblCellMar>
          <w:top w:w="0" w:type="dxa"/>
          <w:left w:w="0" w:type="dxa"/>
          <w:bottom w:w="0" w:type="dxa"/>
          <w:right w:w="0" w:type="dxa"/>
        </w:tblCellMar>
      </w:tblPr>
      <w:tblGrid>
        <w:gridCol w:w="789"/>
        <w:gridCol w:w="2275"/>
      </w:tblGrid>
      <w:tr>
        <w:trPr/>
        <w:tc>
          <w:tcPr>
            <w:tcW w:w="3064" w:type="dxa"/>
            <w:gridSpan w:val="2"/>
            <w:tcBorders/>
            <w:vAlign w:val="center"/>
          </w:tcPr>
          <w:p>
            <w:pPr>
              <w:pStyle w:val="TableContents"/>
              <w:bidi w:val="0"/>
              <w:spacing w:before="0" w:after="283"/>
              <w:jc w:val="left"/>
              <w:rPr/>
            </w:pPr>
            <w:r>
              <w:rPr/>
              <w:t>Cogency Global Inc.</w:t>
              <w:br/>
              <w:t>Authorized U.S. Representative</w:t>
            </w:r>
          </w:p>
        </w:tc>
      </w:tr>
      <w:tr>
        <w:trPr/>
        <w:tc>
          <w:tcPr>
            <w:tcW w:w="789" w:type="dxa"/>
            <w:tcBorders/>
            <w:vAlign w:val="center"/>
          </w:tcPr>
          <w:p>
            <w:pPr>
              <w:pStyle w:val="TableContents"/>
              <w:bidi w:val="0"/>
              <w:spacing w:before="0" w:after="283"/>
              <w:jc w:val="left"/>
              <w:rPr/>
            </w:pPr>
            <w:r>
              <w:rPr/>
              <w:t> </w:t>
            </w:r>
          </w:p>
        </w:tc>
        <w:tc>
          <w:tcPr>
            <w:tcW w:w="2275"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pPr>
            <w:r>
              <w:rPr/>
              <w:t>By:</w:t>
            </w:r>
          </w:p>
        </w:tc>
        <w:tc>
          <w:tcPr>
            <w:tcW w:w="22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Colleen A. De Vries</w:t>
            </w:r>
          </w:p>
        </w:tc>
      </w:tr>
      <w:tr>
        <w:trPr/>
        <w:tc>
          <w:tcPr>
            <w:tcW w:w="789" w:type="dxa"/>
            <w:tcBorders/>
            <w:vAlign w:val="center"/>
          </w:tcPr>
          <w:p>
            <w:pPr>
              <w:pStyle w:val="TableContents"/>
              <w:bidi w:val="0"/>
              <w:spacing w:before="0" w:after="283"/>
              <w:jc w:val="left"/>
              <w:rPr/>
            </w:pPr>
            <w:r>
              <w:rPr/>
              <w:t xml:space="preserve">Name: </w:t>
            </w:r>
          </w:p>
        </w:tc>
        <w:tc>
          <w:tcPr>
            <w:tcW w:w="2275" w:type="dxa"/>
            <w:tcBorders/>
            <w:vAlign w:val="center"/>
          </w:tcPr>
          <w:p>
            <w:pPr>
              <w:pStyle w:val="TableContents"/>
              <w:bidi w:val="0"/>
              <w:spacing w:before="0" w:after="283"/>
              <w:jc w:val="left"/>
              <w:rPr/>
            </w:pPr>
            <w:r>
              <w:rPr/>
              <w:t>Colleen A. De Vries</w:t>
            </w:r>
          </w:p>
        </w:tc>
      </w:tr>
      <w:tr>
        <w:trPr/>
        <w:tc>
          <w:tcPr>
            <w:tcW w:w="789" w:type="dxa"/>
            <w:tcBorders/>
            <w:vAlign w:val="center"/>
          </w:tcPr>
          <w:p>
            <w:pPr>
              <w:pStyle w:val="TableContents"/>
              <w:bidi w:val="0"/>
              <w:spacing w:before="0" w:after="283"/>
              <w:jc w:val="left"/>
              <w:rPr/>
            </w:pPr>
            <w:r>
              <w:rPr/>
              <w:t>Title:</w:t>
            </w:r>
          </w:p>
        </w:tc>
        <w:tc>
          <w:tcPr>
            <w:tcW w:w="2275" w:type="dxa"/>
            <w:tcBorders/>
            <w:vAlign w:val="center"/>
          </w:tcPr>
          <w:p>
            <w:pPr>
              <w:pStyle w:val="TableContents"/>
              <w:bidi w:val="0"/>
              <w:spacing w:before="0" w:after="283"/>
              <w:jc w:val="left"/>
              <w:rPr/>
            </w:pPr>
            <w:r>
              <w:rPr/>
              <w:t>Senior Vice President</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240" w:after="60"/>
        <w:jc w:val="left"/>
        <w:rPr>
          <w:bdr w:val="single" w:sz="16" w:space="1" w:color="000000"/>
        </w:rPr>
      </w:pPr>
      <w:bookmarkStart w:id="26" w:name="e7482_ex4-1.htm"/>
      <w:bookmarkStart w:id="27" w:name="kse7482_ex41"/>
      <w:bookmarkEnd w:id="26"/>
      <w:bookmarkEnd w:id="27"/>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sz w:val="20"/>
        </w:rPr>
      </w:pPr>
      <w:r>
        <w:rPr>
          <w:rFonts w:ascii="Times New Roman;Times;Serif" w:hAnsi="Times New Roman;Times;Serif"/>
          <w:b/>
          <w:sz w:val="20"/>
        </w:rPr>
        <w:t>EXHIBIT 4.1</w:t>
      </w:r>
    </w:p>
    <w:p>
      <w:pPr>
        <w:pStyle w:val="TextBody"/>
        <w:bidi w:val="0"/>
        <w:jc w:val="right"/>
        <w:rPr/>
      </w:pPr>
      <w:r>
        <w:rPr/>
        <w:t> </w:t>
      </w:r>
    </w:p>
    <w:p>
      <w:pPr>
        <w:pStyle w:val="TextBody"/>
        <w:bidi w:val="0"/>
        <w:jc w:val="center"/>
        <w:rPr/>
      </w:pPr>
      <w:r>
        <w:rPr/>
        <w:drawing>
          <wp:inline distT="0" distB="0" distL="0" distR="0">
            <wp:extent cx="9525000" cy="7362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9525000" cy="7362825"/>
                    </a:xfrm>
                    <a:prstGeom prst="rect">
                      <a:avLst/>
                    </a:prstGeom>
                  </pic:spPr>
                </pic:pic>
              </a:graphicData>
            </a:graphic>
          </wp:inline>
        </w:drawing>
      </w:r>
      <w:r>
        <w:rPr/>
        <w:t>  </w:t>
      </w:r>
    </w:p>
    <w:p>
      <w:pPr>
        <w:pStyle w:val="TextBody"/>
        <w:bidi w:val="0"/>
        <w:spacing w:before="60" w:after="60"/>
        <w:jc w:val="left"/>
        <w:rPr>
          <w:bdr w:val="single" w:sz="16" w:space="1" w:color="000000"/>
        </w:rPr>
      </w:pPr>
      <w:r>
        <w:rPr>
          <w:bdr w:val="single" w:sz="16" w:space="1" w:color="000000"/>
        </w:rPr>
        <w:t> </w:t>
      </w:r>
    </w:p>
    <w:p>
      <w:pPr>
        <w:pStyle w:val="TextBody"/>
        <w:bidi w:val="0"/>
        <w:jc w:val="right"/>
        <w:rPr/>
      </w:pPr>
      <w:r>
        <w:rPr/>
        <w:t> </w:t>
      </w:r>
    </w:p>
    <w:p>
      <w:pPr>
        <w:pStyle w:val="TextBody"/>
        <w:bidi w:val="0"/>
        <w:spacing w:before="200" w:after="60"/>
        <w:jc w:val="left"/>
        <w:rPr>
          <w:bdr w:val="single" w:sz="16" w:space="1" w:color="000000"/>
        </w:rPr>
      </w:pPr>
      <w:bookmarkStart w:id="28" w:name="e7482_ex23-1.htm"/>
      <w:bookmarkStart w:id="29" w:name="kse7482_ex231"/>
      <w:bookmarkEnd w:id="28"/>
      <w:bookmarkEnd w:id="29"/>
      <w:r>
        <w:rPr>
          <w:bdr w:val="single" w:sz="16" w:space="1" w:color="000000"/>
        </w:rPr>
        <w:t> </w:t>
      </w:r>
      <w:r>
        <w:br w:type="page"/>
      </w:r>
    </w:p>
    <w:p>
      <w:pPr>
        <w:pStyle w:val="TextBody"/>
        <w:bidi w:val="0"/>
        <w:spacing w:before="0" w:after="283"/>
        <w:jc w:val="left"/>
        <w:rPr/>
      </w:pPr>
      <w:r>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5429250" cy="1123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5429250" cy="11239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incorporation by reference of our report dated June 20, 2024 with respect to the consolidated financial statements of ZJK Industrial Co., Ltd. as of and for the years ended December 31, 2023 and 2022, appearing in its Annual Report on Form 20-F for the year ended December 31, 2024, in this Registration Statement on Form F-3 (Registration No. 333-293519) and the related Prospectus of ZJK Industrial Co., Ltd. filed with the Securities and Exchange Commission.</w:t>
      </w:r>
    </w:p>
    <w:p>
      <w:pPr>
        <w:pStyle w:val="TextBody"/>
        <w:bidi w:val="0"/>
        <w:jc w:val="both"/>
        <w:rPr>
          <w:caps w:val="false"/>
          <w:smallCaps w:val="false"/>
        </w:rPr>
      </w:pPr>
      <w:r>
        <w:rPr>
          <w:caps w:val="false"/>
          <w:smallCaps w:val="false"/>
        </w:rPr>
        <w:t> </w:t>
      </w:r>
    </w:p>
    <w:tbl>
      <w:tblPr>
        <w:tblW w:w="1955" w:type="dxa"/>
        <w:jc w:val="left"/>
        <w:tblInd w:w="0" w:type="dxa"/>
        <w:tblLayout w:type="fixed"/>
        <w:tblCellMar>
          <w:top w:w="0" w:type="dxa"/>
          <w:left w:w="0" w:type="dxa"/>
          <w:bottom w:w="0" w:type="dxa"/>
          <w:right w:w="0" w:type="dxa"/>
        </w:tblCellMar>
      </w:tblPr>
      <w:tblGrid>
        <w:gridCol w:w="1955"/>
      </w:tblGrid>
      <w:tr>
        <w:trPr/>
        <w:tc>
          <w:tcPr>
            <w:tcW w:w="1955" w:type="dxa"/>
            <w:tcBorders/>
            <w:vAlign w:val="center"/>
          </w:tcPr>
          <w:p>
            <w:pPr>
              <w:pStyle w:val="TableContents"/>
              <w:bidi w:val="0"/>
              <w:spacing w:before="0" w:after="283"/>
              <w:jc w:val="left"/>
              <w:rPr>
                <w:i/>
              </w:rPr>
            </w:pPr>
            <w:r>
              <w:rPr>
                <w:i/>
              </w:rPr>
              <w:t>/s/ TPS Thayer LLC</w:t>
            </w:r>
          </w:p>
        </w:tc>
      </w:tr>
      <w:tr>
        <w:trPr/>
        <w:tc>
          <w:tcPr>
            <w:tcW w:w="195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Sugar Land, Texas</w:t>
            </w:r>
          </w:p>
        </w:tc>
      </w:tr>
      <w:tr>
        <w:trPr/>
        <w:tc>
          <w:tcPr>
            <w:tcW w:w="195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March 23, 2026</w:t>
            </w:r>
          </w:p>
        </w:tc>
      </w:tr>
    </w:tbl>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color w:val="00000A"/>
        </w:rPr>
      </w:pPr>
      <w:r>
        <w:rPr>
          <w:caps w:val="false"/>
          <w:smallCaps w:val="false"/>
          <w:color w:val="00000A"/>
        </w:rPr>
        <w:t> </w:t>
      </w:r>
    </w:p>
    <w:p>
      <w:pPr>
        <w:pStyle w:val="TextBody"/>
        <w:bidi w:val="0"/>
        <w:jc w:val="left"/>
        <w:rPr>
          <w:caps w:val="false"/>
          <w:smallCaps w:val="false"/>
        </w:rPr>
      </w:pPr>
      <w:r>
        <w:rPr>
          <w:caps w:val="false"/>
          <w:smallCaps w:val="false"/>
        </w:rPr>
        <w:t> </w:t>
      </w:r>
    </w:p>
    <w:p>
      <w:pPr>
        <w:pStyle w:val="TextBody"/>
        <w:bidi w:val="0"/>
        <w:spacing w:before="200" w:after="60"/>
        <w:jc w:val="left"/>
        <w:rPr>
          <w:bdr w:val="single" w:sz="16" w:space="1" w:color="000000"/>
        </w:rPr>
      </w:pPr>
      <w:bookmarkStart w:id="30" w:name="e7482_ex23-2.htm"/>
      <w:bookmarkStart w:id="31" w:name="kse7482_ex232"/>
      <w:bookmarkEnd w:id="30"/>
      <w:bookmarkEnd w:id="31"/>
      <w:r>
        <w:rPr>
          <w:bdr w:val="single" w:sz="16" w:space="1" w:color="000000"/>
        </w:rPr>
        <w:t> </w:t>
      </w:r>
      <w:r>
        <w:br w:type="page"/>
      </w:r>
    </w:p>
    <w:p>
      <w:pPr>
        <w:pStyle w:val="TextBody"/>
        <w:bidi w:val="0"/>
        <w:spacing w:before="0" w:after="283"/>
        <w:jc w:val="left"/>
        <w:rPr/>
      </w:pPr>
      <w:r>
        <w:rPr/>
        <w:t> </w:t>
      </w:r>
    </w:p>
    <w:p>
      <w:pPr>
        <w:pStyle w:val="TextBody"/>
        <w:bidi w:val="0"/>
        <w:jc w:val="right"/>
        <w:rPr>
          <w:rFonts w:ascii="Times New Roman;Times;Serif" w:hAnsi="Times New Roman;Times;Serif"/>
          <w:b/>
          <w:i w:val="false"/>
          <w:caps/>
          <w:sz w:val="20"/>
        </w:rPr>
      </w:pPr>
      <w:r>
        <w:rPr>
          <w:rFonts w:ascii="Times New Roman;Times;Serif" w:hAnsi="Times New Roman;Times;Serif"/>
          <w:b/>
          <w:i w:val="false"/>
          <w:caps/>
          <w:sz w:val="20"/>
        </w:rPr>
        <w:t>EXHIBIT 23.2</w:t>
      </w:r>
    </w:p>
    <w:p>
      <w:pPr>
        <w:pStyle w:val="TextBody"/>
        <w:bidi w:val="0"/>
        <w:jc w:val="center"/>
        <w:rPr>
          <w:caps/>
        </w:rPr>
      </w:pPr>
      <w:r>
        <w:rPr>
          <w:caps/>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and to the incorporation by reference of our report dated April 28, 2025 with respect to the consolidated financial statements of ZJK Industrial Co., Ltd. as of and for the year ended December 31, 2024, appearing in its Annual Report on Form 20-F for the year ended December 31, 2024, in this Registration Statement on Form F-3 (Registration No. 333-293519) and the related Prospectus of ZJK Industrial Co., Ltd. filed with the Securities and Exchange Commission.</w:t>
      </w:r>
    </w:p>
    <w:p>
      <w:pPr>
        <w:pStyle w:val="TextBody"/>
        <w:bidi w:val="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tc>
      </w:tr>
      <w:tr>
        <w:trPr/>
        <w:tc>
          <w:tcPr>
            <w:tcW w:w="2225" w:type="dxa"/>
            <w:tcBorders/>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w:t>
            </w:r>
          </w:p>
        </w:tc>
      </w:tr>
      <w:tr>
        <w:trPr/>
        <w:tc>
          <w:tcPr>
            <w:tcW w:w="2225" w:type="dxa"/>
            <w:tcBorders/>
            <w:vAlign w:val="center"/>
          </w:tcPr>
          <w:p>
            <w:pPr>
              <w:pStyle w:val="TableContents"/>
              <w:bidi w:val="0"/>
              <w:spacing w:before="0" w:after="283"/>
              <w:ind w:left="0" w:right="0" w:hanging="0"/>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23, 2026</w:t>
            </w:r>
          </w:p>
        </w:tc>
      </w:tr>
    </w:tbl>
    <w:p>
      <w:pPr>
        <w:pStyle w:val="TextBody"/>
        <w:bidi w:val="0"/>
        <w:jc w:val="both"/>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41506/000173112226000414/e7452_ex3-1.htm" TargetMode="External"/><Relationship Id="rId5" Type="http://schemas.openxmlformats.org/officeDocument/2006/relationships/hyperlink" Target="http://www.sec.gov/Archives/edgar/data/1941506/000173112226000255/e7306_ex5-1.htm" TargetMode="External"/><Relationship Id="rId6" Type="http://schemas.openxmlformats.org/officeDocument/2006/relationships/hyperlink" Target="http://www.sec.gov/Archives/edgar/data/1941506/000173112226000255/e7306_ex5-2.htm" TargetMode="External"/><Relationship Id="rId7" Type="http://schemas.openxmlformats.org/officeDocument/2006/relationships/hyperlink" Target="http://www.sec.gov/Archives/edgar/data/1941506/000173112226000255/e7306_ex5-2.htm" TargetMode="External"/><Relationship Id="rId8" Type="http://schemas.openxmlformats.org/officeDocument/2006/relationships/hyperlink" Target="http://www.sec.gov/Archives/edgar/data/1941506/000173112226000255/e7306_ex5-2.htm" TargetMode="External"/><Relationship Id="rId9" Type="http://schemas.openxmlformats.org/officeDocument/2006/relationships/hyperlink" Target="http://www.sec.gov/Archives/edgar/data/1941506/000173112226000255/e7306_ex107.htm" TargetMode="External"/><Relationship Id="rId10" Type="http://schemas.openxmlformats.org/officeDocument/2006/relationships/image" Target="media/image3.jpeg"/><Relationship Id="rId11" Type="http://schemas.openxmlformats.org/officeDocument/2006/relationships/image" Target="media/image4.gif"/><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28487</Words>
  <Characters>148933</Characters>
  <CharactersWithSpaces>177818</CharactersWithSpaces>
  <Paragraphs>1969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