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ZJK Industrial Co.,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ordinary shares, par value US$0.000016666667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DNR Technology Co.,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VIRGIN ISLANDS, BRITISH</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6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38,050,188.00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38,050,188.00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38,050,188.00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59.62 %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Note for Rows 5, 7 and 9: Represents 38,050,188 Class A ordinary shares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beneficially owned by the reporting person, consisting of (i) 32,050,188 Class A ordinary shares (the "Class A Ordinary Shares"), par value US$0.000016666667 per share, of ZJK Industrial Co., Ltd. (the "Issuer") held by DNR Technology Co., Ltd., and (ii) 6,000,000 Class A ordinary shares issuable to DNR Technology Co., Ltd. upon the conversion of 6,000,000 Class B ordinary shares (the "Class B Ordinary Shares"), par value US$0.000016666667 per share, of the Issuer, held by it. Class B Ordinary Shares are convertible into Class A Ordinary Shares at any time after issuance at the option of the holder on a one-for-one basis. Holders of Class B Ordinary Shares are entitled to thirty (30) votes per share, and holders of Class A Ordinary Shares are entitled to one (1) vote per share, on all matters decided by poll at any general meeting. DNR Technology Co., Ltd. is a limited liability company incorporated under the British Virgin Islands laws. The person having voting, dispositive or investment powers over DNR Technology Co., Ltd. is Ning Ding. As a result of share capital reorganization of the Issuer, effective on March 16, 2026, the Issuer re-designated and re-classified its authorized and issued share capital, pursuant to which, among other things,</w:t>
      </w:r>
    </w:p>
    <w:p>
      <w:pPr>
        <w:ind w:right="200"/>
        <w:spacing w:after="0" w:line="233" w:lineRule="auto"/>
        <w:rPr>
          <w:sz w:val="20"/>
          <w:szCs w:val="20"/>
          <w:color w:val="auto"/>
        </w:rPr>
      </w:pPr>
      <w:r>
        <w:rPr>
          <w:rFonts w:ascii="Times New Roman" w:cs="Times New Roman" w:eastAsia="Times New Roman" w:hAnsi="Times New Roman"/>
          <w:sz w:val="22"/>
          <w:szCs w:val="22"/>
          <w:color w:val="auto"/>
        </w:rPr>
        <w:t>6,000,000 shares held by DNR Technology Co., Ltd. were re-designated and re-classified as Class B Ordinary Shares on a one-for-one basis and the remaining shares held by DNR Technology Co., Ltd. were re-designated and re-classified as Class A Ordinary Shares on a one-for-one basis. Note for Row 11: Percentage of beneficial ownership is based on 64,322,249 ordinary shares of the Issuer, comprising of 55,322,249 Class A Ordinary Shares and 9,000,000 Class B Ordinary Shares, outstanding as of March 31, 2026 according to records of the Issuer.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Ning Ding</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CHINA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38,350,188.00</w:t>
            </w:r>
          </w:p>
        </w:tc>
        <w:tc>
          <w:tcPr>
            <w:tcW w:w="0" w:type="dxa"/>
            <w:vAlign w:val="bottom"/>
          </w:tcPr>
          <w:p>
            <w:pPr>
              <w:spacing w:after="0"/>
              <w:rPr>
                <w:sz w:val="1"/>
                <w:szCs w:val="1"/>
                <w:color w:val="auto"/>
              </w:rPr>
            </w:pPr>
          </w:p>
        </w:tc>
      </w:tr>
    </w:tbl>
    <w:p>
      <w:pPr>
        <w:sectPr>
          <w:pgSz w:w="11900" w:h="16838" w:orient="portrait"/>
          <w:cols w:equalWidth="0" w:num="1">
            <w:col w:w="11220"/>
          </w:cols>
          <w:pgMar w:left="320" w:top="111" w:right="359" w:bottom="0"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38,350,188.00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38,350,188.00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59.62 %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Note for Rows 5, 7 and 9: Represents an aggregate of 38,350,188 Class A Ordinary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Shares beneficially owned by the reporting person, consisting of (i) 300,000 Class A Ordinary Shares held directly by Ning Ding,</w:t>
      </w:r>
    </w:p>
    <w:p>
      <w:pPr>
        <w:spacing w:after="0" w:line="1" w:lineRule="exact"/>
        <w:rPr>
          <w:sz w:val="20"/>
          <w:szCs w:val="20"/>
          <w:color w:val="auto"/>
        </w:rPr>
      </w:pPr>
    </w:p>
    <w:p>
      <w:pPr>
        <w:ind w:firstLine="8"/>
        <w:spacing w:after="0" w:line="243" w:lineRule="auto"/>
        <w:tabs>
          <w:tab w:leader="none" w:pos="318"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32,050,188 Class A Ordinary Shares held by DNR Technology Co., Ltd., which is in turn controlled by Ning Ding, and (iii) 6,000,000 Class A Ordinary Shares issuable upon the conversion of 6,000,000 Class B Ordinary Shares held by DNR Technology Co., Ltd. Class B Ordinary Shares are convertible into Class A Ordinary Shares at any time after issuance at the option of the holder on a one-for-one basis. Holders of Class B Ordinary Shares are entitled to thirty (30) votes per share, and holders of Class A Ordinary Shares are entitled to one (1) vote per share, on all matters decided by poll at any general meeting. As a result of share capital reorganization of the Issuer, effective on March 16, 2026, the Issuer re-designated and re-classified its authorized and issued share capital, pursuant to which, among other things, 6,000,000 shares held by DNR Technology Co., Ltd. were re-designated and re-classified as Class B Ordinary Shares on a one-for-one basis and the remaining shares held by Ning Ding and DNR Technology Co., Ltd. were re-designated and re-classified as Class A Ordinary Shares on a one-for-one basis. Note for Row 11: Percentage of beneficial ownership is based on 64,322,249 ordinary shares of the Issuer, comprising of 55,322,249 Class A Ordinary Shares and 9,000,000 Class B Ordinary Shares, outstanding as of March 31, 2026 according to records of the Issuer.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40"/>
          </w:cols>
          <w:pgMar w:left="320" w:top="102" w:right="33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ZJK Industrial Co., Ltd.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ind w:right="740"/>
        <w:spacing w:after="0" w:line="258" w:lineRule="auto"/>
        <w:rPr>
          <w:sz w:val="20"/>
          <w:szCs w:val="20"/>
          <w:color w:val="auto"/>
        </w:rPr>
      </w:pPr>
      <w:r>
        <w:rPr>
          <w:rFonts w:ascii="Times New Roman" w:cs="Times New Roman" w:eastAsia="Times New Roman" w:hAnsi="Times New Roman"/>
          <w:sz w:val="22"/>
          <w:szCs w:val="22"/>
          <w:color w:val="auto"/>
        </w:rPr>
        <w:t>No.8, Jingqiang Road, 138 Industrial Zone, Xiuxin Community, Kengzi Town, Pingshan New Area, Shenzhen People's Republic of China, 518122</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DNR Technology Co., Ltd. Ning Ding</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580"/>
        <w:spacing w:after="0" w:line="256" w:lineRule="auto"/>
        <w:rPr>
          <w:sz w:val="20"/>
          <w:szCs w:val="20"/>
          <w:color w:val="auto"/>
        </w:rPr>
      </w:pPr>
      <w:r>
        <w:rPr>
          <w:rFonts w:ascii="Times New Roman" w:cs="Times New Roman" w:eastAsia="Times New Roman" w:hAnsi="Times New Roman"/>
          <w:sz w:val="22"/>
          <w:szCs w:val="22"/>
          <w:color w:val="auto"/>
        </w:rPr>
        <w:t>For DNR Technology Co., Ltd. and Ning Ding: No.8, Jingqiang Road, 138 Industrial Zone, Xiuxin Community, Kengzi Town, Pingshan New Area, Shenzhen People's Republic of China, 518122</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1740"/>
        <w:spacing w:after="0" w:line="309" w:lineRule="auto"/>
        <w:rPr>
          <w:sz w:val="20"/>
          <w:szCs w:val="20"/>
          <w:color w:val="auto"/>
        </w:rPr>
      </w:pPr>
      <w:r>
        <w:rPr>
          <w:rFonts w:ascii="Times New Roman" w:cs="Times New Roman" w:eastAsia="Times New Roman" w:hAnsi="Times New Roman"/>
          <w:sz w:val="22"/>
          <w:szCs w:val="22"/>
          <w:color w:val="auto"/>
        </w:rPr>
        <w:t>DNR Technology Co., Ltd.: The British Virgin Islands Ning Ding: The People's Republic of China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ordinary shares, par value US$0.000016666667 per share</w:t>
      </w:r>
    </w:p>
    <w:p>
      <w:pPr>
        <w:spacing w:after="0" w:line="44" w:lineRule="exact"/>
        <w:rPr>
          <w:sz w:val="20"/>
          <w:szCs w:val="20"/>
          <w:color w:val="auto"/>
        </w:rPr>
      </w:pPr>
    </w:p>
    <w:p>
      <w:pPr>
        <w:sectPr>
          <w:pgSz w:w="11900" w:h="16838" w:orient="portrait"/>
          <w:cols w:equalWidth="0" w:num="2">
            <w:col w:w="660" w:space="300"/>
            <w:col w:w="10280"/>
          </w:cols>
          <w:pgMar w:left="320" w:top="102" w:right="339" w:bottom="0" w:gutter="0" w:footer="0" w:header="0"/>
          <w:type w:val="continuous"/>
        </w:sectPr>
      </w:pPr>
    </w:p>
    <w:p>
      <w:pPr>
        <w:ind w:left="960" w:hanging="912"/>
        <w:spacing w:after="0"/>
        <w:tabs>
          <w:tab w:leader="none" w:pos="96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CUSIP No.:</w:t>
      </w:r>
    </w:p>
    <w:p>
      <w:pPr>
        <w:sectPr>
          <w:pgSz w:w="11900" w:h="16838" w:orient="portrait"/>
          <w:cols w:equalWidth="0" w:num="1">
            <w:col w:w="11240"/>
          </w:cols>
          <w:pgMar w:left="320" w:top="102" w:right="339" w:bottom="0" w:gutter="0" w:footer="0" w:header="0"/>
          <w:type w:val="continuous"/>
        </w:sectPr>
      </w:pPr>
    </w:p>
    <w:bookmarkStart w:id="3" w:name="page4"/>
    <w:bookmarkEnd w:id="3"/>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36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6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required by Items 4(a) is set forth in Row 9 of the cover page for each Reporting Person and is incorporated herein by reference.</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39"/>
          <w:szCs w:val="39"/>
          <w:color w:val="auto"/>
          <w:vertAlign w:val="superscript"/>
        </w:rPr>
      </w:pPr>
    </w:p>
    <w:p>
      <w:pPr>
        <w:ind w:left="920" w:right="16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required by Items 4(b) is set forth in Row 11 of the cover page for each Reporting Person and is incorporated herein by reference.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820"/>
          </w:cols>
          <w:pgMar w:left="360" w:top="409" w:right="719" w:bottom="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Items 4(c) is set forth in Rows 5-8 of the cover page for each Reporting Person and is incorporated herein by reference.</w:t>
      </w:r>
    </w:p>
    <w:p>
      <w:pPr>
        <w:spacing w:after="0" w:line="239" w:lineRule="exact"/>
        <w:rPr>
          <w:sz w:val="20"/>
          <w:szCs w:val="20"/>
          <w:color w:val="auto"/>
        </w:rPr>
      </w:pPr>
    </w:p>
    <w:p>
      <w:pPr>
        <w:ind w:left="440" w:hanging="314"/>
        <w:spacing w:after="0"/>
        <w:tabs>
          <w:tab w:leader="none" w:pos="44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87" w:lineRule="exact"/>
        <w:rPr>
          <w:rFonts w:ascii="Times New Roman" w:cs="Times New Roman" w:eastAsia="Times New Roman" w:hAnsi="Times New Roman"/>
          <w:sz w:val="22"/>
          <w:szCs w:val="22"/>
          <w:color w:val="auto"/>
        </w:rPr>
      </w:pPr>
    </w:p>
    <w:p>
      <w:pPr>
        <w:ind w:left="500" w:hanging="374"/>
        <w:spacing w:after="0"/>
        <w:tabs>
          <w:tab w:leader="none" w:pos="5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87" w:lineRule="exact"/>
        <w:rPr>
          <w:rFonts w:ascii="Times New Roman" w:cs="Times New Roman" w:eastAsia="Times New Roman" w:hAnsi="Times New Roman"/>
          <w:sz w:val="22"/>
          <w:szCs w:val="22"/>
          <w:color w:val="auto"/>
        </w:rPr>
      </w:pPr>
    </w:p>
    <w:p>
      <w:pPr>
        <w:ind w:left="500" w:hanging="374"/>
        <w:spacing w:after="0"/>
        <w:tabs>
          <w:tab w:leader="none" w:pos="5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ind w:left="1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720" w:space="80"/>
            <w:col w:w="10020"/>
          </w:cols>
          <w:pgMar w:left="360" w:top="409" w:right="719" w:bottom="86" w:gutter="0" w:footer="0" w:header="0"/>
          <w:type w:val="continuous"/>
        </w:sectPr>
      </w:pPr>
    </w:p>
    <w:bookmarkStart w:id="4" w:name="page5"/>
    <w:bookmarkEnd w:id="4"/>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5"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DNR Technology Co., Ltd.</w:t>
      </w:r>
    </w:p>
    <w:p>
      <w:pPr>
        <w:spacing w:after="0" w:line="152"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Ning Ding</w:t>
      </w:r>
    </w:p>
    <w:p>
      <w:pPr>
        <w:spacing w:after="0" w:line="4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Name/Title: Ning Ding, Director</w:t>
      </w:r>
    </w:p>
    <w:p>
      <w:pPr>
        <w:spacing w:after="0" w:line="44"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Ning Ding</w:t>
      </w:r>
    </w:p>
    <w:p>
      <w:pPr>
        <w:spacing w:after="0" w:line="152" w:lineRule="exact"/>
        <w:rPr>
          <w:sz w:val="20"/>
          <w:szCs w:val="20"/>
          <w:color w:val="auto"/>
        </w:rPr>
      </w:pPr>
    </w:p>
    <w:p>
      <w:pPr>
        <w:ind w:left="2460"/>
        <w:spacing w:after="0"/>
        <w:tabs>
          <w:tab w:leader="none" w:pos="3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Ning Ding</w:t>
      </w:r>
    </w:p>
    <w:p>
      <w:pPr>
        <w:spacing w:after="0" w:line="44"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Name/Title: Ning Ding</w:t>
      </w:r>
    </w:p>
    <w:p>
      <w:pPr>
        <w:spacing w:after="0" w:line="44" w:lineRule="exact"/>
        <w:rPr>
          <w:sz w:val="20"/>
          <w:szCs w:val="20"/>
          <w:color w:val="auto"/>
        </w:rPr>
      </w:pPr>
    </w:p>
    <w:p>
      <w:pPr>
        <w:ind w:left="2460"/>
        <w:spacing w:after="0"/>
        <w:tabs>
          <w:tab w:leader="none" w:pos="3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08" w:lineRule="exact"/>
        <w:rPr>
          <w:sz w:val="20"/>
          <w:szCs w:val="20"/>
          <w:color w:val="auto"/>
        </w:rPr>
      </w:pPr>
    </w:p>
    <w:p>
      <w:pPr>
        <w:jc w:val="center"/>
        <w:ind w:right="82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1 : Joint Filing Agreement</w:t>
      </w:r>
    </w:p>
    <w:p>
      <w:pPr>
        <w:sectPr>
          <w:pgSz w:w="11900" w:h="16838" w:orient="portrait"/>
          <w:cols w:equalWidth="0" w:num="1">
            <w:col w:w="11140"/>
          </w:cols>
          <w:pgMar w:left="360" w:top="112" w:right="3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123190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undersigned hereby agree that the foregoing statement on Schedule 13G is filed on behalf of each of the undersigned in accordance with the provisions of Rule 13d-l(k) under the Securities Exchange Act of 1934, as amended, and that all subsequent amendments to this statement on Schedule 13G may be filed on behalf of each of the undersigned without the necessity of filing additional joint filing agreements.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February 13, 2025</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DNR Technology Co., Ltd.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Ning 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6200"/>
        <w:spacing w:after="0"/>
        <w:tabs>
          <w:tab w:leader="none" w:pos="6840" w:val="left"/>
        </w:tabs>
        <w:rPr>
          <w:sz w:val="20"/>
          <w:szCs w:val="20"/>
          <w:color w:val="auto"/>
        </w:rPr>
      </w:pPr>
      <w:r>
        <w:rPr>
          <w:rFonts w:ascii="Times New Roman" w:cs="Times New Roman" w:eastAsia="Times New Roman" w:hAnsi="Times New Roman"/>
          <w:sz w:val="18"/>
          <w:szCs w:val="18"/>
          <w:color w:val="auto"/>
        </w:rPr>
        <w:t>Name:</w:t>
        <w:tab/>
        <w:t>Ning Ding</w:t>
      </w:r>
    </w:p>
    <w:p>
      <w:pPr>
        <w:spacing w:after="0" w:line="23" w:lineRule="exact"/>
        <w:rPr>
          <w:sz w:val="20"/>
          <w:szCs w:val="20"/>
          <w:color w:val="auto"/>
        </w:rPr>
      </w:pPr>
    </w:p>
    <w:p>
      <w:pPr>
        <w:ind w:left="6200"/>
        <w:spacing w:after="0"/>
        <w:tabs>
          <w:tab w:leader="none" w:pos="6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Director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Ning Ding</w:t>
      </w:r>
    </w:p>
    <w:p>
      <w:pPr>
        <w:spacing w:after="0" w:line="3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Ning 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5715</wp:posOffset>
            </wp:positionV>
            <wp:extent cx="32061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4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5"/>
      <w:numFmt w:val="bullet"/>
      <w:start w:val="1"/>
    </w:lvl>
  </w:abstractNum>
  <w:abstractNum w:abstractNumId="3">
    <w:nsid w:val="79E2A9E3"/>
    <w:multiLevelType w:val="hybridMultilevel"/>
    <w:lvl w:ilvl="0">
      <w:lvlJc w:val="left"/>
      <w:lvlText w:val="2"/>
      <w:numFmt w:val="bullet"/>
      <w:start w:val="1"/>
    </w:lvl>
  </w:abstractNum>
  <w:abstractNum w:abstractNumId="4">
    <w:nsid w:val="7545E146"/>
    <w:multiLevelType w:val="hybridMultilevel"/>
    <w:lvl w:ilvl="0">
      <w:lvlJc w:val="left"/>
      <w:lvlText w:val="3"/>
      <w:numFmt w:val="bullet"/>
      <w:start w:val="1"/>
    </w:lvl>
  </w:abstractNum>
  <w:abstractNum w:abstractNumId="5">
    <w:nsid w:val="515F007C"/>
    <w:multiLevelType w:val="hybridMultilevel"/>
    <w:lvl w:ilvl="0">
      <w:lvlJc w:val="left"/>
      <w:lvlText w:val="(%1)"/>
      <w:numFmt w:val="lowerRoman"/>
      <w:start w:val="2"/>
    </w:lvl>
  </w:abstractNum>
  <w:abstractNum w:abstractNumId="6">
    <w:nsid w:val="5BD062C2"/>
    <w:multiLevelType w:val="hybridMultilevel"/>
    <w:lvl w:ilvl="0">
      <w:lvlJc w:val="left"/>
      <w:lvlText w:val="(%1)"/>
      <w:numFmt w:val="lowerLetter"/>
      <w:start w:val="5"/>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2026-05-15T20:52:09Z</dcterms:created>
  <dcterms:modified xsi:type="dcterms:W3CDTF">2026-05-15T20:52:09Z</dcterms:modified>
</cp:coreProperties>
</file>