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ZJK Industrial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US$0.000016666667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Vimisci Holding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9,624,000.00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9,624,000.00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9,624,000.00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for Rows 6, 8 and 9: Represents 9,624,000 Class A ordinary shares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by the reporting person, consisting of (i) 7,824,000 Class A ordinary shares (the "Class A Ordinary Shares"), par value US$0.000016666667 per share of ZJK Industrial Co., Ltd. (the "Issuer") held by Vimisci Holding Limited, and (ii) 1,800,000 Class A ordinary shares issuable to Vimisci Holding Limited upon the conversion of 1,800,000 Class B ordinary shares (the "Class B Ordinary Shares"), par value US$0.000016666667 per share, of the Issuer, held by it. (the "Class B Ordinary Shares Ordinary Shares"), par value US$0.000016666667 per share, of the Issuer, held by it. Class B Ordinary Shares are convertible into Class A Ordinary Shares at any time after issuance at the option of the holder on a one-for-one basis. Holders of Class B Ordinary Shares are entitled to thirty (30) votes per share, and holders of Class A Ordinary Shares are entitled to one (1) vote per share, on all matters decided by poll at any general meeting. Vimisci Holding Limited is a limited liability company incorporated under the British Virgin Islands laws. The person having voting, dispositive or investment powers over Vimisci Holding Limited is Kai Huang. As a result of share capital reorganization of the Issuer, effective on March 16, 2026, the Issuer re-designated and re-classified its authorized and issued share capital, pursuant to which, among other things, 1,800,000 shares held by Vimisci Holding Limited were re-designated and re-classified as Class B Ordinary Shares on a one-for-one basis and the remaining shares held by Vimisci Holding Limited were re-designated and re-classified as Class A Ordinary Shares on a one-for-one basis. Note for Row 11: Percentage of beneficial ownership is based on 64,322,249 ordinary shares of the Issuer, comprising of 55,322,249 Class A Ordinary Shares and 9,000,000 Class B Ordinary Shares, outstanding as of March 31,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Huang Kai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jc w:val="center"/>
        <w:ind w:right="8200"/>
        <w:spacing w:after="0"/>
        <w:rPr>
          <w:sz w:val="20"/>
          <w:szCs w:val="20"/>
          <w:color w:val="auto"/>
        </w:rPr>
      </w:pPr>
      <w:r>
        <w:rPr>
          <w:rFonts w:ascii="Times New Roman" w:cs="Times New Roman" w:eastAsia="Times New Roman" w:hAnsi="Times New Roman"/>
          <w:sz w:val="22"/>
          <w:szCs w:val="22"/>
          <w:color w:val="auto"/>
        </w:rPr>
        <w:t>CHINA</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9,624,000.00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9,624,000.00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9,624,000.00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for Rows 5, 7 and 9: Represents an aggregate of 9,624,000 Class A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SharesShares beneficially owned by thethe reporting person, consisting of (i) 7,824,000 Class A Ordinary Shares Ordinary Sharesheld by Vimisci Holding Limited, and (ii) 1,800,000 Class A Ordinary Shares issuable to Vimisci Holding Limited upon the conversion of 1,800,000 Class B Ordinary Shares held by Vimisci Holding Limited. Limited.Class B OrdinaryOrdinary shares are convertible into Class A ordinary shares at any time after issuance at the option of the holder on a one-for-one basis. Holders of Class B Ordinary Shares are entitled to thirty (30) votes per share, and holders of Class A Ordinary Shares are entitled to one (1) vote per share, on all matters decided by poll at any general meeting. As a result of share capital reorganization of the Issuer, effective on March 16, 2026, the Issuer re-designated and re-classified its authorized and issued share capital, pursuant to which, among other things, 1,800,000 shares held by Vimisci Holding Limited were re-designated and re-classified as Class B Ordinary Shares on a one-for-one basis and the remaining shares held by Vimisci Holding Limited were re-designated and re-classified as Class A Ordinary Shares on a one-for-one basis. Note for Row 11: Percentage of beneficial ownership is based on 64,322,249 ordinary shares of the Issuer, comprising of 55,322,249 Class A Ordinary Shares and 9,000,000 Class B Ordinary Shares, outstanding as of March 31, 2026 according to records of the Issuer.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11" w:right="3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ZJK Industrial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No.8, Jingqiang Road, 138 Industrial Zone, Xiuxin Community, Kengzi Town, Pingshan New Area, Shenzhen People's Republic of China, 518122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Vimisci Holding Limited Kai Huang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For Vimisci Holding Limited and Kai Huang: No.8, Jingqiang Road, 138 Industrial Zone, Xiuxin Community, Kengzi Town, Pingshan New Area, Shenzhen People's Republic of China, 518122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860"/>
        <w:spacing w:after="0" w:line="309" w:lineRule="auto"/>
        <w:rPr>
          <w:sz w:val="20"/>
          <w:szCs w:val="20"/>
          <w:color w:val="auto"/>
        </w:rPr>
      </w:pPr>
      <w:r>
        <w:rPr>
          <w:rFonts w:ascii="Times New Roman" w:cs="Times New Roman" w:eastAsia="Times New Roman" w:hAnsi="Times New Roman"/>
          <w:sz w:val="22"/>
          <w:szCs w:val="22"/>
          <w:color w:val="auto"/>
        </w:rPr>
        <w:t>Vimisci Holding Limited: The British Virgin Islands Kai Huang: The People's Republic of China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US$0.000016666667 per share</w:t>
      </w:r>
    </w:p>
    <w:p>
      <w:pPr>
        <w:sectPr>
          <w:pgSz w:w="11900" w:h="16838" w:orient="portrait"/>
          <w:cols w:equalWidth="0" w:num="2">
            <w:col w:w="660" w:space="300"/>
            <w:col w:w="10240"/>
          </w:cols>
          <w:pgMar w:left="320" w:top="111" w:right="379" w:bottom="0" w:gutter="0" w:footer="0" w:header="0"/>
          <w:type w:val="continuous"/>
        </w:sectPr>
      </w:pPr>
    </w:p>
    <w:bookmarkStart w:id="3" w:name="page4"/>
    <w:bookmarkEnd w:id="3"/>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is set forth in Row 9 of the cover page for each Reporting Person and is incorporated herein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1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4(b) is set forth in Row 11 of the cover page for each Reporting Person and is incorporated herein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820"/>
          </w:cols>
          <w:pgMar w:left="360" w:top="112" w:right="7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 is set forth in Rows 5-8 of the cover page for each Reporting Person and is incorporated herein by reference.</w:t>
      </w:r>
    </w:p>
    <w:p>
      <w:pPr>
        <w:spacing w:after="0" w:line="239" w:lineRule="exact"/>
        <w:rPr>
          <w:sz w:val="20"/>
          <w:szCs w:val="20"/>
          <w:color w:val="auto"/>
        </w:rPr>
      </w:pPr>
    </w:p>
    <w:p>
      <w:pPr>
        <w:ind w:left="440" w:hanging="314"/>
        <w:spacing w:after="0"/>
        <w:tabs>
          <w:tab w:leader="none" w:pos="4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500" w:hanging="374"/>
        <w:spacing w:after="0"/>
        <w:tabs>
          <w:tab w:leader="none" w:pos="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ind w:left="500" w:hanging="374"/>
        <w:spacing w:after="0"/>
        <w:tabs>
          <w:tab w:leader="none" w:pos="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-151130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720" w:space="80"/>
            <w:col w:w="10020"/>
          </w:cols>
          <w:pgMar w:left="360" w:top="112" w:right="719" w:bottom="0" w:gutter="0" w:footer="0" w:header="0"/>
          <w:type w:val="continuous"/>
        </w:sectPr>
      </w:pPr>
    </w:p>
    <w:bookmarkStart w:id="4" w:name="page5"/>
    <w:bookmarkEnd w:id="4"/>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Vimisci Holding Ltd</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Huang Kai</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Huang Kai, Director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05/16/2026</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Huang Kai</w:t>
      </w:r>
    </w:p>
    <w:p>
      <w:pPr>
        <w:spacing w:after="0" w:line="152"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Huang Kai</w:t>
      </w:r>
    </w:p>
    <w:p>
      <w:pPr>
        <w:spacing w:after="0" w:line="4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Name/Title: Huang Kai</w:t>
      </w:r>
    </w:p>
    <w:p>
      <w:pPr>
        <w:spacing w:after="0" w:line="44" w:lineRule="exact"/>
        <w:rPr>
          <w:sz w:val="20"/>
          <w:szCs w:val="20"/>
          <w:color w:val="auto"/>
        </w:rPr>
      </w:pPr>
    </w:p>
    <w:p>
      <w:pPr>
        <w:ind w:left="248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05/16/2026</w:t>
      </w:r>
    </w:p>
    <w:p>
      <w:pPr>
        <w:spacing w:after="0" w:line="108" w:lineRule="exact"/>
        <w:rPr>
          <w:sz w:val="20"/>
          <w:szCs w:val="20"/>
          <w:color w:val="auto"/>
        </w:rPr>
      </w:pPr>
    </w:p>
    <w:p>
      <w:pPr>
        <w:jc w:val="center"/>
        <w:ind w:right="82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p>
      <w:pPr>
        <w:sectPr>
          <w:pgSz w:w="11900" w:h="16838" w:orient="portrait"/>
          <w:cols w:equalWidth="0" w:num="1">
            <w:col w:w="11140"/>
          </w:cols>
          <w:pgMar w:left="360" w:top="396"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foregoing statement on Schedule 13G is filed on behalf of each of the undersigned in accordance with the provisions of Rule 13d-l(k) under the Securities Exchange Act of 1934, as amended, and that all subsequent amendments to this statement on Schedule 13G may be filed on behalf of each of the undersigned without the necessity of filing additional joint filing agreements.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February 13,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Vimisci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tab/>
        <w:t>Kai Huang</w:t>
      </w:r>
    </w:p>
    <w:p>
      <w:pPr>
        <w:spacing w:after="0" w:line="23"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Kai Huang</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Kai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2026-05-18T06:47:36Z</dcterms:created>
  <dcterms:modified xsi:type="dcterms:W3CDTF">2026-05-18T06:47:36Z</dcterms:modified>
</cp:coreProperties>
</file>