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60"/>
        <w:jc w:val="left"/>
        <w:rPr>
          <w:bdr w:val="single" w:sz="16" w:space="1" w:color="000000"/>
        </w:rPr>
      </w:pPr>
      <w:bookmarkStart w:id="0" w:name="e7805_424b5.htm"/>
      <w:bookmarkStart w:id="1" w:name="kse7805_424b5"/>
      <w:bookmarkEnd w:id="0"/>
      <w:bookmarkEnd w:id="1"/>
      <w:r>
        <w:rPr>
          <w:bdr w:val="single" w:sz="16"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424(b)(5)</w:t>
      </w:r>
      <w:r>
        <w:rPr>
          <w:rFonts w:ascii="Times New Roman;Times;Serif" w:hAnsi="Times New Roman;Times;Serif"/>
          <w:b w:val="false"/>
          <w:i w:val="false"/>
          <w:caps w:val="false"/>
          <w:smallCaps w:val="false"/>
          <w:sz w:val="20"/>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333-293519</w:t>
      </w:r>
    </w:p>
    <w:p>
      <w:pPr>
        <w:pStyle w:val="TextBody"/>
        <w:bidi w:val="0"/>
        <w:jc w:val="righ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March 27, 2026)</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2763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9429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$9,800,000 Class A Ordinary Shares</w:t>
      </w:r>
    </w:p>
    <w:p>
      <w:pPr>
        <w:pStyle w:val="TextBody"/>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(the “Sales Agreement”), dated August 3, 2026, with Chaince Securities, LLC (“Chaince” or the “Sales Agent”) relating to the offer and sale of our Class A ordinary shares, par value $0.000016666667 per share (“Class A Ordinary Shares”), offered by this prospectus supplement and the accompanying prospectus. In accordance with the terms of the Sales Agreement, we may offer and sell our Class A Ordinary Shares, from time to time through or to the Sales Agent, acting as a sales agent or principal, having an aggregate offering price of up to $9,800,000.</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if any, under this prospectus supplement and the accompanying prospectus may be made in sales deemed to be “at the market offerings” as defined in Rule 415(a)(4) under the Securities Act of 1933, as amended (the “Securities Act”). The Sales Agent is not required to sell any specific number or dollar amount of securities, but will act as our sales agent using commercially reasonable efforts consistent with its normal trading and sales practices, on mutually agreed terms between the Sales Agent and us. There is no arrangement for funds to be received in any escrow, trust or similar arrangement.</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be entitled to compensation at a fixed commission rate of 3.0% of the gross proceeds from each sale of our Class A Ordinary Shares through it pursuant to the Sales Agreement, plus a per share fee of US$0.02 per Class A Ordinary Share sold to cover execution and clearing costs.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S-20 for additional information regarding the compensation to be paid to the Sales Agent. In connection with the sale of the Class A Ordinary Shares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against certain civil liabilities, including liabilities under the Securities Act or the Securities Exchange Act of 1934, as amended, or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authorized share capital of the Company is US$50,000 divided into 2,991,000,000 Class A Ordinary Shares and 9,000,000 Class B Ordinary Shares of US$0.000016666667 par value each (the “Class B Ordinary Shares”). Holders of Class A Ordinary Shares and Class B Ordinary Shares have the same rights except for voting and conversion rights as set forth in our amended and restated memorandum and articles of association currently in effect. Each holder of Class A Ordinary Shares will be entitled to one vote per one Class A Ordinary Share and each holder of Class B Ordinary Shares will be entitled to thirty (30) votes per one Class B Ordinary Share on all matters decided by poll at any general meeting. The Class B Ordinary Shares are convertible into Class A Ordinary Shares at any time after issuance at the option of the holder on a one-to-one basis. As of the date of this prospectus supplement, we have 55,322,249 Class A Ordinary Shares and 9,000,000 Class B Ordinary Shares issued and outstanding,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“ZJK.” On July 31, 2026, the last reported sale price of our Class A Ordinary Shares on the Nasdaq Capital Market was US$1.55 per share.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Class A Ordinary Shares held by non-affiliates, or public float, as of August 3, 2026, was approximately $29,459,679.60, which was calculated based on 11,330,646 Class A Ordinary Shares held by non-affiliates and the price of $2.60 per share, which was the closing price of our Class A Ordinary Shares on the Nasdaq Capital Market on June 10, 2026, a date within 60 days of the date of this prospectus supplement. During the 12 calendar months prior to and including the date of this prospectus supplement, we have not offered or sold any securities pursuant to General Instruction I.B.5 of Form F-3. After the date of this prospectus supplement, we will not sell in primary offerings under General Instruction I.B.5 of Form F-3 securities having an aggregate market value, when added to the aggregate market value of securities sold by us in primary offerings under General Instruction I.B.5 of Form F-3 during the 12 calendar months immediately prior to and including the date of sale, of more than one-third of our public float so long as our public float remains below $75 million. If our public float increases such that we may sell additional amounts under the Sales Agreement and the registration statement of which this prospectus supplement and the accompanying prospectus form a part, we will file a prospectus supplement prior to making additional sales to the extent required by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“Risk Factors” beginning on page S-13 of this prospectus supplement, page 7 of the accompanying prospectus, and the risk factors set forth in our most recent annual report on Form 20-F (the “2025 Annual Report”) and in other reports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which we refer to as “Zhongjinke,” the “Company” or the “Cayman Islands holding company,” is a Cayman Islands exempted company with limited liability that operates as a holding company with no material operations of its own, and conducts substantially all of its operations through Shenzhen Zhongjinke Hardware Products Co., Ltd, which we refer to as “Zhongjinke Shenzhen,” Zhongke Precision Components (Guangdong) Co., Ltd., which we refer to as “Zhongke Components,” ZJK Precision Components Vietnam Co., Ltd., which we refer to as “Precision Vietnam,” and our other subsidiaries. Zhongjinke Shenzhen holds 100% of the shares of ZJK Precision Parts HK Limited, which we refer to as “Precision HK,” 100% of the shares of Zhongke Components, 100% of the shares of Zhongjinke Precision Parts (Sichuan) Co., Ltd., which we refer to as “Zhongjinke Sichuan,” 100% of the shares of Inter Precision Components (Longyan) Co., Ltd., which we refer to as “Inter Precision,” 60% of the shares of Shenzhen Zhongte Fluid Technology Co., Ltd., which we refer to as “Zhongte Fluid,” 51% of the shares of Nanjing Zhongjinke Hardware Products Co., Ltd., which we refer to as “Zhongjinke Nanjing,” and 49% of PSM-ZJK Fasteners (Shenzhen) Co., Ltd, which we refer to as “PSM-ZJK.” We will refer to Zhongjinke Shenzhen, Zhongke Components, Zhongjinke Sichuan, Inter Precision, Zhongte Fluid and Zhongjinke Nanjing collectively as the “PRC Operating Subsidiaries,” and the PRC Operating Subsidiaries and PSM-ZJK collectively as the “PRC Operating Entities.” Precision HK holds 93% of the shares in Precision Vietnam. We will refer to the PRC Operating Subsidiaries and Precision Vietnam collectively as the “Operating Subsidiaries”; and the PRC Operating Entities and Precision Vietnam collectively as the “Operating Entities.” The securities offered in this prospectus supplement are shares of Zhongjinke, our Cayman Islands holding company, instead of securities of our Operating Entities. Investors in our securities should be aware that they may never directly hold equity interests in our Operating Subsidiaries or Operating Entities.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indirectly hold equity interests in our PRC Entities through our BVI subsidiary, ZJK Enterprises Group (BVI) Company Limited, which we refer to as “Zhongjinke BVI” or “BVI subsidiary.” Zhongjinke BVI holds 100% of the shares of our Hong Kong subsidiary, ZJK Industrial Group HongKong Limited, which we refer to as “Zhongjinke HK” or “Hong Kong subsidiary.” Zhongjinke HK holds 100% of Zhongke Chuangwei (Shenzhen) International Holdings Limited and Galaxy Exploration Investment Holding Limited, which we refer to as “Zhongjinke WFOE” and “Galaxy Exploration,” respectively. Zhongjinke WFOE and Galaxy Exploration hold 99.225% and 0.775% of the shares of Zhongjinke Shenzhen, respectively. We refer to Zhongjinke WFOE and the PRC Operating Subsidiaries collectively as “PRC Subsidiaries,” and Zhongjinke WFOE and the PRC Operating Entities collectively as “PRC Entities.”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Entities were organized in the PRC and governed by the PRC laws. We do not have a variable interest entity (“VIE”) structure.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statements by the PRC government have indicated an intent to exert more oversight and control over offerings that are conducted overseas and/or foreign investments in China-based issuers. The PRC government recently initiated a series of regulatory actions and made a number of public statements on the regulation of business operations in China,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On February 17, 2023, the CSRC issued the Trial Administrative Measures of Overseas Securities Offering and Listing by Domestic Companies (the “Trial Administrative Measures”) and supporting guidance (collectively, the “Filing Rules on Overseas Listings”), which came into effect on March 31, 2023. The Filing Rules on Overseas Listings, among other things, stipulate that, after making relevant applications with overseas stock markets for initial public offerings or listings, all China-based companies shall file with the CSRC within three working days. Where a China-based company submits its application for initial public offering and listing overseas by secret or non-public means, it may submit explanations at the time of filing with the CSRC, apply to postpone the disclosure of the information, and shall report to the CSRC within three working days after the applications for offering and listing are submitted public overseas. After completing overseas offerings and listings, China-based companies shall report to the CSRC in accordance with the guidance. China-based companies applying for overseas offerings and listings after March 31, 2023 shall file with the CSRC within three working days after submitting the application for listing overseas. Furthermore, on February 24, 2023, the CSRC, together with the Ministry of Finance, the National Administration of State Secrets Protection Bureau and the National Archives Administration issued the “Provisions on Strengthening Confidentiality and Archives Administration of Overseas Securities Offering and Listing by Domestic Companies” (the “Archives Rules”), which also came into effect on March 31, 2023. As is consistent with the Filing Rules on Overseas Listings, the Archives Rules expand their application to cover indirect overseas offering and listing, stipulating that a domestic company which plans to publicly disclose any documents and materials containing state secrets or working secrets of government agencies, shall first obtain approval from competent authorities according to law, and file with the secrecy administrative department at the same level. We are required to file with the CSRC within 3 working days after this offering. If we fail to comply with the filing procedures stipulated in the Filing Rules on Overseas Listings after our future follow on offerings, the CSRC may order us to rectify the violation, issue a warning, and impose a fine ranging from RMB1 million to RMB10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securities of the offshore Cayman Islands holding company, Zhongjinke, which indirectly holds equity interest in our Operating Entities. Investors in the securities are not purchasing, and may never directly hold, securities of our Operating Entities that have substantive business operations. Investing in our securities is highly speculative, involves a high degree of risk and should be considered only by persons who can afford the loss of their entire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Zhongjinke nor any of its subsidiaries has cash management policies which dictate the purpose, amount and procedure of cash transfers between the entities. Each entity needs to comply with applicable laws or regulations with respect to transfer of funds, dividends and distributions with other entities. As a holding company, we may rely on transfer of funds, dividends and other distributions on equity paid by our subsidiaries for our cash and financing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there have been no cash flow transactions between the Company and its subsidiaries. In the future, cash proceeds from overseas financing activities, including this offering, will be transferred by Zhongjinke to its subsidiaries via capital contribution or shareholder loans, as the case may be.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retain all or a portion of the cash proceeds raised from overseas financing activities, including the cash proceeds from this offering, outside of the PRC. To the extent that we transfer any such proceeds to our PRC Entities, such transfers may be made through capital contributions and/or shareholder loans, as the case may be. Any transfer of funds by us to our PRC Entities, either as a shareholder loan or as an increase in registered capital, is subject to approval by or registration or filing with relevant governmental authorities in China. Any foreign loans procured by our PRC Entities are required to be registered with the State Administration of Foreign Exchange in China (the “SAFE”) or its local branches and must satisfy relevant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requirements, and our PRC Entities may not procure loans that exceed the applicable statutory limits. According to the relevant PRC regulations on foreign-invested enterprises in China, capital contributions to our PRC Entities are subject to registration with the State Administration for Market Regulation (“SAMR”) or its local branches, report submission to the Ministry of Commerce of China (the “MOFCOM”) or its local branches and registration with a local bank authorized by SAFE. Please see “Item 3. Key Information—D. Risk Factors—Risks Related to Doing Business in China” in the 2025 Annual Report. We intend to keep any future earnings to re-invest in and finance the expansion of our business, and we do not anticipate that any cash dividends will be paid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PSM-ZJK has made dividends or distributions of US$2,319,218 to Zhongjinke Shenzhen in 2024 and US$1,863,561 in 2023. We intend to keep any future earnings to re-invest in and finance the expansion of the business of our PRC Subsidiaries, and we do not anticipate that any cash dividends will be paid in the foreseeable future to the U.S. investors immediately following the consummation of this offering. Under Cayman Islands law, a Cayman Islands company may pay a dividend on its shares out of profits of the company or its share premium account or a combination of both, provided that in no circumstances may a dividend be paid if, following the date on which the dividend is proposed to be paid, the company would be unable to pay its debts as they fall due in the ordinary course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pay dividends to our shareholders, as a holding company, unless we receive proceeds from future offerings, we will be dependent on receipt of funds from our BVI subsidiary, which will be dependent on receipt of dividends from our Hong Kong subsidiary, which will be dependent on receipt of payments from Zhongjinke WFOE and Galaxy Exploration, which will be dependent on receipt of payments from the PRC Operating Entities. PRC regulations currently permit the payment of dividends only out of accumulated profits, as determined in accordance with accounting standards and PRC regulations. To the extent any funds or assets in the business is in mainland China or Hong Kong or a mainland China or Hong Kong entity, the funds or assets may not be available to fund operations or for other use outside of mainland China or Hong Kong, except as otherwise approved by competent PRC government authorities to be used to make overseas investment or lend to overseas affiliates, due to the compliance requirement by PRC governments which may limit our ability to transfer funds abroad, pay dividends or make distribution. The PRC government imposes control on the conversion of RMB into foreign currencies and the remittance of currencies out of mainland China. Furthermore, if our PRC Entities incur debt on their own in the future, the instruments governing the debt may restrict their ability to pay dividends or make other payments and our cash and financing requirement may not be fully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Enterprise Income Tax Law and its implementation rules provide that a withholding tax at a rate of 10% will be applicable to dividends payable by companies in mainland China to enterprises outside of mainland China unless reduced under treaties or arrangements between the PRC central government and the governments of other countries or regions where the enterprises outside of mainland China are tax resident. Based on our understanding of the Hong Kong laws and regulations, as of the date of this prospectus supplement, there is no restriction imposed by the Hong Kong government on the transfer of capital within, into and out of Hong Kong (including funds from Hong Kong to mainland China), except transfer of funds involving money laundering and criminal activities. Based on our understanding of the BVI laws and regulations, as of the date of this prospectus supplement, there is no restriction on the transfer of capital within, into and out of BVI.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years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and has indicated that it will act immediately to consider the need to issue new determinations under the HFCAA if needed. Although we believe that the HFCAA and the related regulations do not currently affect us, we cannot assure you that there will not be any further implementations and interpretations of the HFCAA or the related regulations, which might pose regulatory risks to and impose restrictions on us because of our operations in mainland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conduct substantially all of our operations in China through our Operating Entities, and all of the assets of our Operating Entities are located in China. In addition, all of our other directors and officers are nationals or residents of countries other than the United States. A substantial portion of the assets of these persons is located outside the United States. As a result, it may be difficult for you to effect service of process within the United States upon these persons. It may also be difficult for you to enforce the U.S. courts judgments obtained in U.S. courts including judgments based on the civil liability provisions of the U.S. federal securities laws against us and our officers and directors. See “</w:t>
      </w:r>
      <w:r>
        <w:rPr>
          <w:rFonts w:ascii="Times New Roman;Times;Serif" w:hAnsi="Times New Roman;Times;Serif"/>
          <w:b w:val="false"/>
          <w:i/>
          <w:caps w:val="false"/>
          <w:smallCaps w:val="false"/>
          <w:sz w:val="20"/>
        </w:rPr>
        <w:t>Item 3. Key Information — D. Risk Factors — Risks Related to Our Business and Industry — 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w:t>
      </w:r>
      <w:r>
        <w:rPr>
          <w:rFonts w:ascii="Times New Roman;Times;Serif" w:hAnsi="Times New Roman;Times;Serif"/>
          <w:b w:val="false"/>
          <w:i w:val="false"/>
          <w:caps w:val="false"/>
          <w:smallCaps w:val="false"/>
          <w:sz w:val="20"/>
        </w:rPr>
        <w:t>” in the 2025 Annual Report, which is incorporated by reference into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LLC (“Nasdaq”) Rules because our chairman and chief executive officer, Mr. Ning Ding, beneficially owns more than 50% of our total voting power.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See “</w:t>
      </w:r>
      <w:r>
        <w:rPr>
          <w:rFonts w:ascii="Times New Roman;Times;Serif" w:hAnsi="Times New Roman;Times;Serif"/>
          <w:b w:val="false"/>
          <w:i/>
          <w:caps w:val="false"/>
          <w:smallCaps w:val="false"/>
          <w:sz w:val="20"/>
        </w:rPr>
        <w:t>Item 3. Key Information—D. Risk Factors—Risks Related to Our Ordinary Shares—As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val="false"/>
          <w:i w:val="false"/>
          <w:caps w:val="false"/>
          <w:smallCaps w:val="false"/>
          <w:sz w:val="20"/>
        </w:rPr>
        <w:t>” in the 2025 Annual Report, which is incorporated by reference into this prospectus supplement.</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w:t>
      </w:r>
      <w:r>
        <w:rPr>
          <w:rFonts w:ascii="Times New Roman;Times;Serif" w:hAnsi="Times New Roman;Times;Serif"/>
          <w:b w:val="false"/>
          <w:i/>
          <w:caps w:val="false"/>
          <w:smallCaps w:val="false"/>
          <w:sz w:val="20"/>
        </w:rPr>
        <w:t>Item 3. Key Information—D. Risk Factors—Risks Related to Our Ordinary Shares—We are an emerging growth company within the meaning of the Securities Act and may take advantage of certain reduced reporting requirements” and “Item 3. Key Information—D. Risk Factors—Risks Related to Our Ordinary Shares—We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r>
        <w:rPr>
          <w:rFonts w:ascii="Times New Roman;Times;Serif" w:hAnsi="Times New Roman;Times;Serif"/>
          <w:b w:val="false"/>
          <w:i w:val="false"/>
          <w:caps w:val="false"/>
          <w:smallCaps w:val="false"/>
          <w:sz w:val="20"/>
        </w:rPr>
        <w:t>” in the 2025 Annual Report, which is incorporated by reference into this prospectus supplement.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supplement is truthful or complete. Any representation to the contrary is a criminal offense.</w:t>
      </w:r>
    </w:p>
    <w:p>
      <w:pPr>
        <w:pStyle w:val="TextBody"/>
        <w:shd w:fill="FFFFFF" w:val="clear"/>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Chaince Securities, LLC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57450" cy="1323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57450" cy="13239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3, 2026.</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5495"/>
        <w:gridCol w:w="455"/>
      </w:tblGrid>
      <w:tr>
        <w:trPr/>
        <w:tc>
          <w:tcPr>
            <w:tcW w:w="549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5495" w:type="dxa"/>
            <w:tcBorders/>
            <w:shd w:fill="FFFFFF" w:val="clear"/>
            <w:vAlign w:val="center"/>
          </w:tcPr>
          <w:p>
            <w:pPr>
              <w:pStyle w:val="TableContents"/>
              <w:bidi w:val="0"/>
              <w:spacing w:before="0" w:after="283"/>
              <w:jc w:val="left"/>
              <w:rPr/>
            </w:pPr>
            <w:hyperlink w:anchor="a_002">
              <w:r>
                <w:rPr>
                  <w:rStyle w:val="InternetLink"/>
                </w:rPr>
                <w:t>Commonly Used Defined Terms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w:t>
            </w:r>
          </w:p>
        </w:tc>
      </w:tr>
      <w:tr>
        <w:trPr/>
        <w:tc>
          <w:tcPr>
            <w:tcW w:w="5495"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r>
      <w:tr>
        <w:trPr/>
        <w:tc>
          <w:tcPr>
            <w:tcW w:w="5495" w:type="dxa"/>
            <w:tcBorders/>
            <w:shd w:fill="FFFFFF" w:val="clear"/>
            <w:vAlign w:val="center"/>
          </w:tcPr>
          <w:p>
            <w:pPr>
              <w:pStyle w:val="TableContents"/>
              <w:bidi w:val="0"/>
              <w:spacing w:before="0" w:after="283"/>
              <w:jc w:val="left"/>
              <w:rPr/>
            </w:pPr>
            <w:hyperlink w:anchor="a_004">
              <w:r>
                <w:rPr>
                  <w:rStyle w:val="InternetLink"/>
                </w:rPr>
                <w:t>Prospectus Supplement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S-5</w:t>
            </w:r>
          </w:p>
        </w:tc>
      </w:tr>
      <w:tr>
        <w:trPr/>
        <w:tc>
          <w:tcPr>
            <w:tcW w:w="5495" w:type="dxa"/>
            <w:tcBorders/>
            <w:shd w:fill="CCEEFF" w:val="clear"/>
            <w:vAlign w:val="center"/>
          </w:tcPr>
          <w:p>
            <w:pPr>
              <w:pStyle w:val="TableContents"/>
              <w:bidi w:val="0"/>
              <w:spacing w:before="0" w:after="283"/>
              <w:jc w:val="left"/>
              <w:rPr/>
            </w:pPr>
            <w:hyperlink w:anchor="a_005">
              <w:r>
                <w:rPr>
                  <w:rStyle w:val="InternetLink"/>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5495" w:type="dxa"/>
            <w:tcBorders/>
            <w:shd w:fill="FFFFFF" w:val="clear"/>
            <w:vAlign w:val="center"/>
          </w:tcPr>
          <w:p>
            <w:pPr>
              <w:pStyle w:val="TableContents"/>
              <w:bidi w:val="0"/>
              <w:spacing w:before="0" w:after="283"/>
              <w:jc w:val="left"/>
              <w:rPr/>
            </w:pPr>
            <w:hyperlink w:anchor="a_006">
              <w:r>
                <w:rPr>
                  <w:rStyle w:val="InternetLink"/>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5495"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5495" w:type="dxa"/>
            <w:tcBorders/>
            <w:shd w:fill="FFFFFF" w:val="clear"/>
            <w:vAlign w:val="center"/>
          </w:tcPr>
          <w:p>
            <w:pPr>
              <w:pStyle w:val="TableContents"/>
              <w:bidi w:val="0"/>
              <w:spacing w:before="0" w:after="283"/>
              <w:jc w:val="left"/>
              <w:rPr/>
            </w:pPr>
            <w:hyperlink w:anchor="a_008">
              <w:r>
                <w:rPr>
                  <w:rStyle w:val="InternetLink"/>
                </w:rPr>
                <w:t>Dividend Policy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S-17</w:t>
            </w:r>
          </w:p>
        </w:tc>
      </w:tr>
      <w:tr>
        <w:trPr/>
        <w:tc>
          <w:tcPr>
            <w:tcW w:w="5495" w:type="dxa"/>
            <w:tcBorders/>
            <w:shd w:fill="CCEEFF" w:val="clear"/>
            <w:vAlign w:val="center"/>
          </w:tcPr>
          <w:p>
            <w:pPr>
              <w:pStyle w:val="TableContents"/>
              <w:bidi w:val="0"/>
              <w:spacing w:before="0" w:after="283"/>
              <w:jc w:val="left"/>
              <w:rPr/>
            </w:pPr>
            <w:hyperlink w:anchor="a_009">
              <w:r>
                <w:rPr>
                  <w:rStyle w:val="InternetLink"/>
                </w:rPr>
                <w:t>Capitalization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S-18</w:t>
            </w:r>
          </w:p>
        </w:tc>
      </w:tr>
      <w:tr>
        <w:trPr/>
        <w:tc>
          <w:tcPr>
            <w:tcW w:w="5495" w:type="dxa"/>
            <w:tcBorders/>
            <w:shd w:fill="FFFFFF" w:val="clear"/>
            <w:vAlign w:val="center"/>
          </w:tcPr>
          <w:p>
            <w:pPr>
              <w:pStyle w:val="TableContents"/>
              <w:bidi w:val="0"/>
              <w:spacing w:before="0" w:after="283"/>
              <w:jc w:val="left"/>
              <w:rPr/>
            </w:pPr>
            <w:hyperlink w:anchor="a_010">
              <w:r>
                <w:rPr>
                  <w:rStyle w:val="InternetLink"/>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r>
        <w:trPr/>
        <w:tc>
          <w:tcPr>
            <w:tcW w:w="5495"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S-20</w:t>
            </w:r>
          </w:p>
        </w:tc>
      </w:tr>
      <w:tr>
        <w:trPr/>
        <w:tc>
          <w:tcPr>
            <w:tcW w:w="5495" w:type="dxa"/>
            <w:tcBorders/>
            <w:shd w:fill="FFFFFF" w:val="clear"/>
            <w:vAlign w:val="center"/>
          </w:tcPr>
          <w:p>
            <w:pPr>
              <w:pStyle w:val="TableContents"/>
              <w:bidi w:val="0"/>
              <w:spacing w:before="0" w:after="283"/>
              <w:jc w:val="left"/>
              <w:rPr/>
            </w:pPr>
            <w:hyperlink w:anchor="a_012">
              <w:r>
                <w:rPr>
                  <w:rStyle w:val="InternetLink"/>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r>
        <w:trPr/>
        <w:tc>
          <w:tcPr>
            <w:tcW w:w="5495"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r>
        <w:trPr/>
        <w:tc>
          <w:tcPr>
            <w:tcW w:w="5495" w:type="dxa"/>
            <w:tcBorders/>
            <w:shd w:fill="FFFFFF" w:val="clear"/>
            <w:vAlign w:val="center"/>
          </w:tcPr>
          <w:p>
            <w:pPr>
              <w:pStyle w:val="TableContents"/>
              <w:bidi w:val="0"/>
              <w:spacing w:before="0" w:after="283"/>
              <w:jc w:val="left"/>
              <w:rPr/>
            </w:pPr>
            <w:hyperlink w:anchor="a_014">
              <w:r>
                <w:rPr>
                  <w:rStyle w:val="InternetLink"/>
                </w:rPr>
                <w:t>Incorporation of Documents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r>
        <w:trPr/>
        <w:tc>
          <w:tcPr>
            <w:tcW w:w="5495" w:type="dxa"/>
            <w:tcBorders/>
            <w:shd w:fill="CCEEFF" w:val="clear"/>
            <w:vAlign w:val="center"/>
          </w:tcPr>
          <w:p>
            <w:pPr>
              <w:pStyle w:val="TableContents"/>
              <w:bidi w:val="0"/>
              <w:spacing w:before="0" w:after="283"/>
              <w:jc w:val="left"/>
              <w:rPr/>
            </w:pPr>
            <w:hyperlink w:anchor="a_015">
              <w:r>
                <w:rPr>
                  <w:rStyle w:val="InternetLink"/>
                </w:rPr>
                <w:t>Where You Can Find 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S-23</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495"/>
        <w:gridCol w:w="60"/>
        <w:gridCol w:w="455"/>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495" w:type="dxa"/>
            <w:tcBorders/>
            <w:shd w:fill="CCEEFF" w:val="clear"/>
            <w:vAlign w:val="center"/>
          </w:tcPr>
          <w:p>
            <w:pPr>
              <w:pStyle w:val="TableContents"/>
              <w:bidi w:val="0"/>
              <w:spacing w:before="0" w:after="283"/>
              <w:jc w:val="left"/>
              <w:rPr/>
            </w:pPr>
            <w:hyperlink w:anchor="a_016">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495" w:type="dxa"/>
            <w:tcBorders/>
            <w:shd w:fill="FFFFFF" w:val="clear"/>
            <w:vAlign w:val="center"/>
          </w:tcPr>
          <w:p>
            <w:pPr>
              <w:pStyle w:val="TableContents"/>
              <w:bidi w:val="0"/>
              <w:spacing w:before="0" w:after="283"/>
              <w:jc w:val="left"/>
              <w:rPr/>
            </w:pPr>
            <w:hyperlink w:anchor="a_017">
              <w:r>
                <w:rPr>
                  <w:rStyle w:val="InternetLink"/>
                </w:rPr>
                <w:t>Commonly Used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5495" w:type="dxa"/>
            <w:tcBorders/>
            <w:shd w:fill="CCEEFF" w:val="clear"/>
            <w:vAlign w:val="center"/>
          </w:tcPr>
          <w:p>
            <w:pPr>
              <w:pStyle w:val="TableContents"/>
              <w:bidi w:val="0"/>
              <w:spacing w:before="0" w:after="283"/>
              <w:jc w:val="left"/>
              <w:rPr/>
            </w:pPr>
            <w:hyperlink w:anchor="a_018">
              <w:r>
                <w:rPr>
                  <w:rStyle w:val="InternetLink"/>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5495" w:type="dxa"/>
            <w:tcBorders/>
            <w:shd w:fill="FFFFFF" w:val="clear"/>
            <w:vAlign w:val="center"/>
          </w:tcPr>
          <w:p>
            <w:pPr>
              <w:pStyle w:val="TableContents"/>
              <w:bidi w:val="0"/>
              <w:spacing w:before="0" w:after="283"/>
              <w:jc w:val="left"/>
              <w:rPr/>
            </w:pPr>
            <w:hyperlink w:anchor="a_019">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495" w:type="dxa"/>
            <w:tcBorders/>
            <w:shd w:fill="CCEEFF" w:val="clear"/>
            <w:vAlign w:val="center"/>
          </w:tcPr>
          <w:p>
            <w:pPr>
              <w:pStyle w:val="TableContents"/>
              <w:bidi w:val="0"/>
              <w:spacing w:before="0" w:after="283"/>
              <w:jc w:val="left"/>
              <w:rPr/>
            </w:pPr>
            <w:hyperlink w:anchor="a_020">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hyperlink w:anchor="a_021">
              <w:r>
                <w:rPr>
                  <w:rStyle w:val="InternetLink"/>
                </w:rPr>
                <w:t>Offer Statistics and Expected Timetable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CCEEFF" w:val="clear"/>
            <w:vAlign w:val="center"/>
          </w:tcPr>
          <w:p>
            <w:pPr>
              <w:pStyle w:val="TableContents"/>
              <w:bidi w:val="0"/>
              <w:spacing w:before="0" w:after="283"/>
              <w:jc w:val="left"/>
              <w:rPr/>
            </w:pPr>
            <w:hyperlink w:anchor="a_022">
              <w:r>
                <w:rPr>
                  <w:rStyle w:val="InternetLink"/>
                </w:rPr>
                <w:t>Capitalization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FFFFFF" w:val="clear"/>
            <w:vAlign w:val="center"/>
          </w:tcPr>
          <w:p>
            <w:pPr>
              <w:pStyle w:val="TableContents"/>
              <w:bidi w:val="0"/>
              <w:spacing w:before="0" w:after="283"/>
              <w:jc w:val="left"/>
              <w:rPr/>
            </w:pPr>
            <w:hyperlink w:anchor="a_023">
              <w:r>
                <w:rPr>
                  <w:rStyle w:val="InternetLink"/>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CCEEFF" w:val="clear"/>
            <w:vAlign w:val="center"/>
          </w:tcPr>
          <w:p>
            <w:pPr>
              <w:pStyle w:val="TableContents"/>
              <w:bidi w:val="0"/>
              <w:spacing w:before="0" w:after="283"/>
              <w:jc w:val="left"/>
              <w:rPr/>
            </w:pPr>
            <w:hyperlink w:anchor="a_024">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FFFFFF" w:val="clear"/>
            <w:vAlign w:val="center"/>
          </w:tcPr>
          <w:p>
            <w:pPr>
              <w:pStyle w:val="TableContents"/>
              <w:bidi w:val="0"/>
              <w:spacing w:before="0" w:after="283"/>
              <w:jc w:val="left"/>
              <w:rPr/>
            </w:pPr>
            <w:hyperlink w:anchor="a_025">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495" w:type="dxa"/>
            <w:tcBorders/>
            <w:shd w:fill="CCEEFF" w:val="clear"/>
            <w:vAlign w:val="center"/>
          </w:tcPr>
          <w:p>
            <w:pPr>
              <w:pStyle w:val="TableContents"/>
              <w:bidi w:val="0"/>
              <w:spacing w:before="0" w:after="283"/>
              <w:jc w:val="left"/>
              <w:rPr/>
            </w:pPr>
            <w:hyperlink w:anchor="a_026">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95" w:type="dxa"/>
            <w:tcBorders/>
            <w:shd w:fill="FFFFFF" w:val="clear"/>
            <w:vAlign w:val="center"/>
          </w:tcPr>
          <w:p>
            <w:pPr>
              <w:pStyle w:val="TableContents"/>
              <w:bidi w:val="0"/>
              <w:spacing w:before="0" w:after="283"/>
              <w:jc w:val="left"/>
              <w:rPr/>
            </w:pPr>
            <w:hyperlink w:anchor="a_027">
              <w:r>
                <w:rPr>
                  <w:rStyle w:val="InternetLink"/>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5495" w:type="dxa"/>
            <w:tcBorders/>
            <w:shd w:fill="CCEEFF" w:val="clear"/>
            <w:vAlign w:val="center"/>
          </w:tcPr>
          <w:p>
            <w:pPr>
              <w:pStyle w:val="TableContents"/>
              <w:bidi w:val="0"/>
              <w:spacing w:before="0" w:after="283"/>
              <w:jc w:val="left"/>
              <w:rPr/>
            </w:pPr>
            <w:hyperlink w:anchor="a_028">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5495" w:type="dxa"/>
            <w:tcBorders/>
            <w:shd w:fill="FFFFFF" w:val="clear"/>
            <w:vAlign w:val="center"/>
          </w:tcPr>
          <w:p>
            <w:pPr>
              <w:pStyle w:val="TableContents"/>
              <w:bidi w:val="0"/>
              <w:spacing w:before="0" w:after="283"/>
              <w:jc w:val="left"/>
              <w:rPr/>
            </w:pPr>
            <w:hyperlink w:anchor="a_029">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5495" w:type="dxa"/>
            <w:tcBorders/>
            <w:shd w:fill="CCEEFF" w:val="clear"/>
            <w:vAlign w:val="center"/>
          </w:tcPr>
          <w:p>
            <w:pPr>
              <w:pStyle w:val="TableContents"/>
              <w:bidi w:val="0"/>
              <w:spacing w:before="0" w:after="283"/>
              <w:jc w:val="left"/>
              <w:rPr/>
            </w:pPr>
            <w:hyperlink w:anchor="a_030">
              <w:r>
                <w:rPr>
                  <w:rStyle w:val="InternetLink"/>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5495" w:type="dxa"/>
            <w:tcBorders/>
            <w:shd w:fill="FFFFFF" w:val="clear"/>
            <w:vAlign w:val="center"/>
          </w:tcPr>
          <w:p>
            <w:pPr>
              <w:pStyle w:val="TableContents"/>
              <w:bidi w:val="0"/>
              <w:spacing w:before="0" w:after="283"/>
              <w:jc w:val="left"/>
              <w:rPr/>
            </w:pPr>
            <w:hyperlink w:anchor="a_031">
              <w:r>
                <w:rPr>
                  <w:rStyle w:val="InternetLink"/>
                </w:rPr>
                <w:t>Selling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CCEEFF" w:val="clear"/>
            <w:vAlign w:val="center"/>
          </w:tcPr>
          <w:p>
            <w:pPr>
              <w:pStyle w:val="TableContents"/>
              <w:bidi w:val="0"/>
              <w:spacing w:before="0" w:after="283"/>
              <w:jc w:val="left"/>
              <w:rPr/>
            </w:pPr>
            <w:hyperlink w:anchor="a_032">
              <w:r>
                <w:rPr>
                  <w:rStyle w:val="InternetLink"/>
                </w:rPr>
                <w:t>Expenses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hyperlink w:anchor="a_033">
              <w:r>
                <w:rPr>
                  <w:rStyle w:val="InternetLink"/>
                </w:rPr>
                <w:t>Material Contracts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CCEEFF" w:val="clear"/>
            <w:vAlign w:val="center"/>
          </w:tcPr>
          <w:p>
            <w:pPr>
              <w:pStyle w:val="TableContents"/>
              <w:bidi w:val="0"/>
              <w:spacing w:before="0" w:after="283"/>
              <w:jc w:val="left"/>
              <w:rPr/>
            </w:pPr>
            <w:hyperlink w:anchor="a_034">
              <w:r>
                <w:rPr>
                  <w:rStyle w:val="InternetLink"/>
                </w:rPr>
                <w:t>Material Changes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hyperlink w:anchor="a_035">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CCEEFF" w:val="clear"/>
            <w:vAlign w:val="center"/>
          </w:tcPr>
          <w:p>
            <w:pPr>
              <w:pStyle w:val="TableContents"/>
              <w:bidi w:val="0"/>
              <w:spacing w:before="0" w:after="283"/>
              <w:jc w:val="left"/>
              <w:rPr/>
            </w:pPr>
            <w:hyperlink w:anchor="a_036">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hyperlink w:anchor="a_037">
              <w:r>
                <w:rPr>
                  <w:rStyle w:val="InternetLink"/>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5495" w:type="dxa"/>
            <w:tcBorders/>
            <w:shd w:fill="CCEEFF" w:val="clear"/>
            <w:vAlign w:val="center"/>
          </w:tcPr>
          <w:p>
            <w:pPr>
              <w:pStyle w:val="TableContents"/>
              <w:bidi w:val="0"/>
              <w:spacing w:before="0" w:after="283"/>
              <w:jc w:val="left"/>
              <w:rPr/>
            </w:pPr>
            <w:hyperlink w:anchor="a_038">
              <w:r>
                <w:rPr>
                  <w:rStyle w:val="InternetLink"/>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95" w:type="dxa"/>
            <w:tcBorders/>
            <w:shd w:fill="FFFFFF" w:val="clear"/>
            <w:vAlign w:val="center"/>
          </w:tcPr>
          <w:p>
            <w:pPr>
              <w:pStyle w:val="TableContents"/>
              <w:bidi w:val="0"/>
              <w:spacing w:before="0" w:after="283"/>
              <w:jc w:val="left"/>
              <w:rPr/>
            </w:pPr>
            <w:hyperlink w:anchor="a_039">
              <w:r>
                <w:rPr>
                  <w:rStyle w:val="InternetLink"/>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or the accompanying prospectus. We have not authorized any person to provide you with different or additional information. If anyone provides you with different or inconsistent information, you should not rely on it. This prospectus supplement is not an offer to sell securities, and it is not soliciting an offer to buy securities in any jurisdiction where the offer or sale is not permitted. You should assume that the information appearing in this prospectus supplement or the accompanying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ABOUT THIS PROSPECTUS SUPPLEMENT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with the SEC a registration statement on Form F-3 (File No. 333-293519) initially on February 17, 2026 utilizing a shelf registration process relating to the securities described in this prospectus supplement, which registration statement was declared effective by the SEC on March 27, 2026. Under this shelf registration process, we may, from time to time, in one or more offerings, offer and sell up to US$300,000,000 of any combination, together or separately, of our Class A Ordinary Shares of US$0.000016666667 par value each (the “Class A Ordinary Shares), warrants, rights, and units, or any combination thereof as described in the accompanying prospectus. We sometimes refer to the Class A Ordinary Shares as the “securities” throughout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prospectus and the documents incorporated herein and therein by reference. This prospectus supplement relates only to an offering of up to $9,800,000 of our Class A Ordinary Shares through the Sales Agent. These sales, if any, will be made pursuant to the terms of the Sales Agreement entered into between us and the Sales Agent on August 3, 2026.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in this prospectus supplement and the accompanying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information contained in this prospectus supplement differs or varies from the information contained in the accompanying prospectus or any document filed prior to the date of this prospectus supplement and incorporated herein or therein by reference, the information in this prospectus supplement will control; provided, that if any statement in one of these documents is inconsistent with a statement in another document having a later date, the statement in the document having the later date modifies or supersedes the earlier statement. In addition, this prospectus supplement and the accompanying prospectus do not contain all of the information provided in the registration statement that we filed with the SEC, including the exhibits to the registration statement. For further information about us and the securities offered hereby, you should refer to that registration statement, which you can obtain from the SEC as described elsewhere in this prospectus supplement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supplement to:</w:t>
      </w:r>
    </w:p>
    <w:p>
      <w:pPr>
        <w:pStyle w:val="TextBody"/>
        <w:bidi w:val="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240" w:type="dxa"/>
            <w:tcBorders/>
            <w:vAlign w:val="center"/>
          </w:tcPr>
          <w:p>
            <w:pPr>
              <w:pStyle w:val="TableContents"/>
              <w:bidi w:val="0"/>
              <w:spacing w:before="0" w:after="283"/>
              <w:jc w:val="both"/>
              <w:rPr/>
            </w:pPr>
            <w:r>
              <w:rPr/>
              <w:t>“</w:t>
            </w:r>
            <w:r>
              <w:rPr/>
              <w:t xml:space="preserve">AHFCAA” refers to the Accelerating Holding Foreign Companies Accountable Act;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CAC” refers to the Cyberspace Administration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China” or the “PRC” refers to the People’s Republic of China; “mainland China” refers to mainland of the People’s Republic of China, excluding the Hong Kong Special Administrative Region and the Macao Special Administrative Region;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Class A Ordinary Shares” refers to the Class A ordinary shares of ZJK Industrial Co., Ltd., par value $0.000016666667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Class B Ordinary Shares” refers to the Class B ordinary shares of ZJK Industrial Co., Ltd., par value $0.000016666667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CSRC” refers to the China Securities Regulatory Commission;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Depending on the context, “we,” “us,” “our company,” “our” and “Zhongjinke” refers to ZJK Industrial Co., Ltd., a Cayman Islands exempted company incorporated with limited liability, and its subsidiaries, including ZJK Enterprises Group (BVI) Company Limited, ZJK Industrial Group HongKong Limited, Zhongke Chuangwei (Shenzhen) International Holdings Limited, Galaxy Exploration Investment Holding Limited, Shenzhen Zhongjinke Hardware Products Co., Ltd, Zhongke Precision Components (Guangdong) Co., Ltd., Nanjing Zhongjinke Hardware Products Co., Ltd., Zhongjinke Precision Parts (Sichuan) Co., Ltd., Shenzhen Zhongte Fluid Technology Co., Ltd., Inter Precision Components (Longyan) Co., Ltd. and PSM-ZJK Fasteners (Shenzhen) Co., Ltd., unless the context otherwise indicates;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Galaxy Exploration” refers to Galaxy Exploration Investment Holding Limited, a company incorporated in the British Virgin Islands and wholly-owned by Zhongjinke HK; </w:t>
            </w:r>
          </w:p>
        </w:tc>
      </w:tr>
    </w:tbl>
    <w:p>
      <w:pPr>
        <w:pStyle w:val="TextBody"/>
        <w:bidi w:val="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965" w:type="dxa"/>
            <w:tcBorders/>
            <w:vAlign w:val="center"/>
          </w:tcPr>
          <w:p>
            <w:pPr>
              <w:pStyle w:val="TableContents"/>
              <w:bidi w:val="0"/>
              <w:spacing w:before="0" w:after="283"/>
              <w:jc w:val="both"/>
              <w:rPr/>
            </w:pPr>
            <w:r>
              <w:rPr/>
              <w:t>“</w:t>
            </w:r>
            <w:r>
              <w:rPr/>
              <w:t>HFCA Act” refers to the Holding Foreign Companies Accountable Act;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M&amp;A Rules” refers to the Regulations on Mergers and Acquisitions of Domestic Enterprises by Foreign Investors of China;</w:t>
            </w:r>
          </w:p>
        </w:tc>
      </w:tr>
    </w:tbl>
    <w:p>
      <w:pPr>
        <w:pStyle w:val="TextBody"/>
        <w:bidi w:val="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45" w:type="dxa"/>
            <w:tcBorders/>
            <w:vAlign w:val="center"/>
          </w:tcPr>
          <w:p>
            <w:pPr>
              <w:pStyle w:val="TableContents"/>
              <w:bidi w:val="0"/>
              <w:spacing w:before="0" w:after="283"/>
              <w:jc w:val="both"/>
              <w:rPr/>
            </w:pPr>
            <w:r>
              <w:rPr/>
              <w:t>“</w:t>
            </w:r>
            <w:r>
              <w:rPr/>
              <w:t>MOFCOM” refers to the Ministry of Commerce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Negative List” refers to the Special Administrative Measures for the Access of Foreign Investment (Negative List);</w:t>
            </w:r>
          </w:p>
        </w:tc>
      </w:tr>
    </w:tbl>
    <w:p>
      <w:pPr>
        <w:pStyle w:val="TextBody"/>
        <w:bidi w:val="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pPr>
            <w:r>
              <w:rPr/>
              <w:t>“</w:t>
            </w:r>
            <w:r>
              <w:rPr/>
              <w:t>NDRC” refers to the National Development and Reform Commission of China;</w:t>
            </w:r>
          </w:p>
        </w:tc>
      </w:tr>
    </w:tbl>
    <w:p>
      <w:pPr>
        <w:pStyle w:val="TextBody"/>
        <w:bidi w:val="0"/>
        <w:spacing w:before="0" w:after="283"/>
        <w:jc w:val="left"/>
        <w:rPr/>
      </w:pPr>
      <w:r>
        <w:rPr/>
        <w:t> </w:t>
      </w:r>
    </w:p>
    <w:p>
      <w:pPr>
        <w:pStyle w:val="TextBody"/>
        <w:bidi w:val="0"/>
        <w:spacing w:before="0" w:after="0"/>
        <w:jc w:val="center"/>
        <w:rPr>
          <w:sz w:val="20"/>
          <w:bdr w:val="single" w:sz="16" w:space="1" w:color="000000"/>
        </w:rPr>
      </w:pPr>
      <w:r>
        <w:rPr>
          <w:sz w:val="20"/>
          <w:bdr w:val="single" w:sz="16" w:space="1" w:color="000000"/>
        </w:rPr>
        <w:t>S-2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NPC” refers to the National People’s Congress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Ordinary Shares” refers to our Class A Ordinary Shares and Class B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Precision HK” refers to ZJK Precision Parts HK Limited, a company incorporated in Hong Kong and wholly-owned by Zhongjinke Shenzhen;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Precision Vietnam” refers to ZJK Precision Components Vietnam Co., Ltd., a company incorporated in Vietnam and wholly-owned by Precision HK;</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PSM-ZJK” refers to PSM-ZJK Fasteners (Shenzhen) Co., Ltd.;</w:t>
            </w:r>
          </w:p>
        </w:tc>
      </w:tr>
    </w:tbl>
    <w:p>
      <w:pPr>
        <w:pStyle w:val="TextBody"/>
        <w:bidi w:val="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50" w:type="dxa"/>
            <w:tcBorders/>
            <w:vAlign w:val="center"/>
          </w:tcPr>
          <w:p>
            <w:pPr>
              <w:pStyle w:val="TableContents"/>
              <w:bidi w:val="0"/>
              <w:spacing w:before="0" w:after="283"/>
              <w:jc w:val="both"/>
              <w:rPr/>
            </w:pPr>
            <w:r>
              <w:rPr/>
              <w:t>“</w:t>
            </w:r>
            <w:r>
              <w:rPr/>
              <w:t>RMB,” “Renminbi” or “yuan” refers to the legal currency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6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50" w:type="dxa"/>
            <w:tcBorders/>
            <w:vAlign w:val="center"/>
          </w:tcPr>
          <w:p>
            <w:pPr>
              <w:pStyle w:val="TableContents"/>
              <w:bidi w:val="0"/>
              <w:spacing w:before="0" w:after="283"/>
              <w:jc w:val="both"/>
              <w:rPr/>
            </w:pPr>
            <w:r>
              <w:rPr/>
              <w:t>“</w:t>
            </w:r>
            <w:r>
              <w:rPr/>
              <w:t>SAFE” refers to State Administration of Foreign Exchange in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SAFE Circular 19” refers to the Notice of the State Administration of Foreign Exchange on Reforming the Administration of Foreign Exchange Settlement of Capital of Foreign-invested Enterprises;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SAFE Circular 37” refers to the Circular on Relevant Issues Concerning Foreign Exchange Control on Domestic Residents’ Offshore Investment and Financing and Roundtrip Investment Through Special Purpose Vehicles;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SAIC” refers to State Administration for Industry and Commerce in China and currently known as State Administration for Market Regulation; </w:t>
            </w:r>
          </w:p>
        </w:tc>
      </w:tr>
    </w:tbl>
    <w:p>
      <w:pPr>
        <w:pStyle w:val="TextBody"/>
        <w:bidi w:val="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pPr>
            <w:r>
              <w:rPr/>
              <w:t>“</w:t>
            </w:r>
            <w:r>
              <w:rPr/>
              <w:t>SAT” refers to PRC State Taxation Administration;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SAMR” refers to the former State of Administration of Industry and Commerce of China, which has been merged into the State Administration for Market Regulation;</w:t>
            </w:r>
          </w:p>
        </w:tc>
      </w:tr>
    </w:tbl>
    <w:p>
      <w:pPr>
        <w:pStyle w:val="TextBody"/>
        <w:bidi w:val="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20" w:type="dxa"/>
            <w:tcBorders/>
            <w:vAlign w:val="center"/>
          </w:tcPr>
          <w:p>
            <w:pPr>
              <w:pStyle w:val="TableContents"/>
              <w:bidi w:val="0"/>
              <w:spacing w:before="0" w:after="283"/>
              <w:jc w:val="both"/>
              <w:rPr/>
            </w:pPr>
            <w:r>
              <w:rPr/>
              <w:t>“</w:t>
            </w:r>
            <w:r>
              <w:rPr/>
              <w:t>SCNPC” refers to the Standing Committee of the National People’s Congress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shares”, “Shares” or “Ordinary Shares” refers to Class A Ordinary Shares and Class B Ordinary Shares.</w:t>
            </w:r>
          </w:p>
        </w:tc>
      </w:tr>
    </w:tbl>
    <w:p>
      <w:pPr>
        <w:pStyle w:val="TextBody"/>
        <w:bidi w:val="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45" w:type="dxa"/>
            <w:tcBorders/>
            <w:vAlign w:val="center"/>
          </w:tcPr>
          <w:p>
            <w:pPr>
              <w:pStyle w:val="TableContents"/>
              <w:bidi w:val="0"/>
              <w:spacing w:before="0" w:after="283"/>
              <w:jc w:val="both"/>
              <w:rPr/>
            </w:pPr>
            <w:r>
              <w:rPr/>
              <w:t>“</w:t>
            </w:r>
            <w:r>
              <w:rPr/>
              <w:t>U.S. dollars,” “dollars,” “USD” or “$” refers to the legal currency of the United States;</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t xml:space="preserve">U.S. GAAP” refers to generally accepted accounting principles in the United States;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BVI” refers to ZJK Enterprises Group (BVI) Company Limited, a company incorporated in the British Virgin Islands and wholly-owned by Zhongjinke;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Zhongke Components” refers to Zhongke Precision Components (Guangdong) Co., Ltd., a company incorporated in the PRC and wholly-owned by Zhongjinke Shenzhen;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HK” refers to ZJK Industrial Group HongKong Limited, a company incorporated in Hong Kong and wholly-owned by Zhongjinke BVI;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Nanjing” refers to Nanjing Zhongjinke Hardware Products Co., Ltd., a company incorporated in the PRC and 51% of the shares owned by Zhongjinke Shenzhen;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Zhongjinke WFOE” refers to Zhongke Chuangwei (Shenzhen) International Holdings Limited, a company incorporated in the PRC and wholly-owned by Zhongjinke HK;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Zhongjinke Shenzhen” refers to Shenzhen Zhongjinke Hardware Products Co., Ltd, a company incorporated in the PRC, and 99.225% of the shares owned by Zhongjinke WFOE and 0.775% of the shares owned by Galaxy Exploration.</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our SEC filings that are incorporated by reference into this prospectus supplement contain or incorporate by reference forward-looking statements within the meaning of Section 27A of the Securities Act of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supplement and in the accompanying prospectus and any free writing prospectus we may authorize for use in connection with a specific offering. These factors and the other cautionary statements made in this prospectus supplement should be read as being applicable to all related forward-looking statements whenever they appear in this prospectus supplement. Except as required by law, we undertake no obligation to update publicly any forward-looking statements, whether as a result of new information, future events, or otherwise.</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PROSPECTUS SUPPLEMENT SUMMARY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highlights, and should be read in conjunction with, the more detailed information contained elsewhere in this prospectus supplement, the accompanying prospectus, and the documents incorporated therein by reference. You should read carefully the entirety of these documents, including our financial statements and related notes, to understand our business, the ordinary shares, and the other considerations that are important to your decision to invest in our securities. You should pay special attention to the “Risk Factors” sections beginning on page S-13 of this prospectus supplement and on page 7 of the accompanying prospectus as well as “Item 3. Key Information—D. Risk Factors” in the 2025 Annual Report.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or the “Company”) is a holding company incorporated in the Cayman Islands as an exempted company with limited liability on May 11, 2022. We have no material operations of our own and conduct substantially all of our operations through Zhongjinke Shenzhen, Zhongke Components and our other subsidiaries. Operating through our consolidated subsidiaries in the PRC, we are a high-tech enterprise specialized in manufacturing and sales of precision fasteners, structural parts and other precision metal parts products for new energy vehicles and intelligent electronic equipment. We mainly offer: (i) standard screws; (ii) precision screws and nuts; (iii) high-strength bolts and nuts; (iv) turning and Computer Numerical Control machining parts; (v) Surface Mounting Technology for miniature parts packaging; and (vi) technology services for research and development from our professional engineering team. Our headquarters are located in Shenzhen,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our initial public offering and listed our ordinary shares on the Nasdaq Capital Market under the symbol “ZJK.” We raised approximately US$6.91 million in gross proceeds from the issuance of new shares from the initial public offering (“IPO”) and partial exercise of over-allotment option prior to deducting underwriting discounts, commissions and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extraordinary general meeting held on March 6, 2026, the shareholders of the Company approved the introduction of two classes of ordinary shares, designated as Class A and Class B. The Company’s Class A Ordinary Shares began trading on the Nasdaq Capital Market at the open of business on March 17, 2026, continuing under the ticker symbol “ZJK.” As a result of share capital reorganization, the Company’s authorized share capital now consists of US$50,000 divided into 2,991,000,000 Class A Ordinary Shares and 9,000,000 Class B Ordinary Shares, each with a par value of US$0.000016666667. The rights attached to the new share classes are materially identical to those previous ordinary shares save that: (i) holders of Class B Ordinary Shares are entitled to thirty (30) votes per share on all matters decided by poll at any general meeting, and (ii) Class B Ordinary Shares are convertible into Class A Ordinary Shares at the option of the holder thereof on a one-for-one basis.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principal subsidiaries, as of the date of this prospectus supplement.</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191250" cy="438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4381500"/>
                    </a:xfrm>
                    <a:prstGeom prst="rect">
                      <a:avLst/>
                    </a:prstGeom>
                  </pic:spPr>
                </pic:pic>
              </a:graphicData>
            </a:graphic>
          </wp:inline>
        </w:drawing>
      </w: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No.8, Jingqiang Road, 138 Industrial Zone, Xiuxin Community, Kengzi Town, Pingshan New Area, Shenzhen, PRC. Our telephone number at this address is +86-0755-28341175. Our agent for service of process in the United States is Cogency Global Inc, located at 122 E 42nd St., 18th Floor, New York, NY 10168.</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through our consolidated subsidiaries in the PRC, we are a high-tech enterprise specialized in manufacturing and sale of precision fasteners, structural parts and other precision metal parts products for new energy vehicles and intelligent electronic equipment, such as mobile phones, smart watches, drones, and 5G communication base stations.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the precision metal parts manufacturing industry started since the establishment of Shenzhen Zhongjinke Hardware Products Co., Ltd in 2011. Our manufacturing technology and experience have been growing steadily in the past 15 years, and we have a professional team consisting of 542 employees as of the date of this annual report. We produced approximately 5.7 billion and 9.7 billion precision metal parts for the fiscal years ended December 31, 2024 and 2025, respectively. We have obtained 63 patents from China National Intellectual Property Administration. With a series of precise and highly-automated processing equipment and high-precision testing instruments, including automatic high-speed cold heading machine, high-speed rolling machine, metal turning lathe, computer numerical-control lathe, high-speed precise punching machine and optical screening machine, we have control over processing quality, accuracy and yield rate. We have adopted ISO 9001:2015 quality management system, ISO 14001:2015 environmental management system, IATF 16949:2016 automobile quality management system and ISO 45001:2018 occupational health management system accredited by the International Organization for Standardization.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technology, product quality and ability to develop new products, we became a supplier for some well-known enterprises and their original equipment manufacturers (“OEMs”) in industries of consumer electronics, new energy vehicles and other fields. To customize the products to the needs of the customers, we connect with our customers from the very beginning, including the research and development (“R&amp;D”) process, and cooperate with customers to design the overall product plans. In recent years, the Company has continuously paid efforts to expand our R&amp;D team and increase our R&amp;D expenses, to improve our technology used in the manufacturing process and product design.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direct sales model and the sales department is responsible for customer contact, product sales, after-sales services and customer maintenance. We have both China-based and overseas sales teams in North America, and we expanded our business in North America through entering into sales representative contracts with 7 sales representative teams who will sell and promote our products in North America. In addition, the Company has established a factory in Vietnam in April 2024 and has entered into a strategic cooperation framework agreement with Chaince Digital Holdings Inc. in November 2025, pursuant to which, the Company will jointly establish a Delaware-based joint venture to serve as the operating entity for a planned precision components R&amp;D and manufacturing Gigafactory in the United States. This Gigafactory will serve the AI, semiconductor, electronics, automotive and other industries. This initiative aims to strengthen the U.S. high-end manufacturing ecosystem and further support our “Made in America, Increasing Market Share in America”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You should carefully consider all of the information in this prospectus supplement before making an investment in our securities. Below please find a summary of the principal risks we face, organized under relevant headings. These risks are discussed more fully below and under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in the 2025 Annual Report, which is incorporated by reference into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this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this offering include, but are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market for our Class A Ordinary Shares may not provide investors with adequate liquidity.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It is not possible to predict the actual number of Class A Ordinary Shares that we will sell under the Sales Agreement or the gross proceeds resulting from those sales.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will have broad discretion in the use of the net proceeds from this offering and, despite our efforts, we may use the net proceeds in a manner that does not increase the value of your investment.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You may experience immediate and substantial dilution in the net tangible book value per share of the Class A Ordinary Shares you purchase in the offering. In addition, we may issue additional equity or convertible debt securities in the future, which may result in additional dilution to you. </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offered hereby will be sold in “at-the-market” offerings, and investors who buy shares at different times will likely pay different prices.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our at-the-market offering program is subject to us maintaining an effective registration statement and complying with applicable prospectus delivery requirements.</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in this offering, or the perception that such sales may occur, could cause the market price of our Class A Ordinary Shares to fall.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w:t>
            </w:r>
            <w:r>
              <w:rPr>
                <w:rFonts w:ascii="Times New Roman;Times;Serif" w:hAnsi="Times New Roman;Times;Serif"/>
                <w:b w:val="false"/>
                <w:i/>
                <w:caps w:val="false"/>
                <w:smallCaps w:val="false"/>
                <w:sz w:val="20"/>
              </w:rPr>
              <w:t>baby shelf</w:t>
            </w:r>
            <w:r>
              <w:rPr>
                <w:rFonts w:ascii="Times New Roman;Times;Serif" w:hAnsi="Times New Roman;Times;Serif"/>
                <w:b w:val="false"/>
                <w:i w:val="false"/>
                <w:caps w:val="false"/>
                <w:smallCaps w:val="false"/>
                <w:sz w:val="20"/>
              </w:rPr>
              <w:t xml:space="preserve">” issuer under General Instruction I.B.5 of Form F-3, our ability to issue securities in primary offerings is limited while our </w:t>
            </w:r>
            <w:r>
              <w:rPr>
                <w:rFonts w:ascii="Times New Roman;Times;Serif" w:hAnsi="Times New Roman;Times;Serif"/>
                <w:b w:val="false"/>
                <w:i/>
                <w:caps w:val="false"/>
                <w:smallCaps w:val="false"/>
                <w:sz w:val="20"/>
              </w:rPr>
              <w:t xml:space="preserve">public float </w:t>
            </w:r>
            <w:r>
              <w:rPr>
                <w:rFonts w:ascii="Times New Roman;Times;Serif" w:hAnsi="Times New Roman;Times;Serif"/>
                <w:b w:val="false"/>
                <w:i w:val="false"/>
                <w:caps w:val="false"/>
                <w:smallCaps w:val="false"/>
                <w:sz w:val="20"/>
              </w:rPr>
              <w:t xml:space="preserve">remains below </w:t>
            </w:r>
            <w:r>
              <w:rPr>
                <w:rFonts w:ascii="Times New Roman;Times;Serif" w:hAnsi="Times New Roman;Times;Serif"/>
                <w:b w:val="false"/>
                <w:i/>
                <w:caps w:val="false"/>
                <w:smallCaps w:val="false"/>
                <w:sz w:val="20"/>
              </w:rPr>
              <w:t>$75 million</w:t>
            </w: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There may be future dilution of our Class A Ordinary Shares, which could adversely affect the market price of our ordinary shares.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business and industry include, but are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operate in a competitive industry. If we are unable to compete successfully, we may lose market share to our competitors.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Any disruption in the supply chain of raw materials and our products could adversely impact our ability to produce and deliver products.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may incur material losses and costs as a result of product liability, recall and warranty claims brought against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If we fail to protect our intellectual property rights, it could harm our business and competitive position.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Failure to manage our growth could strain our management, operational and other resources, which could materially and adversely affect our business and prospects.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are based in mainland China and the majority of our operations are conducted in China by our PRC Operating Entities, so we face risks and uncertainties related to doing business in China in general,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PRC laws and regulations governing our current business operations may be revised from time to time with respect to the PRC legal system, such revision or changes in laws and regulations in China could have a material adverse effect on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Changes in China’s economic, political or social conditions or government policies, which could occur quickly, could have a material adverse effect on our business and operations.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transfer of funds, dividends and other distributions between us and our entities is subject to restriction.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To the extent any funds or assets in the business is in mainland China or Hong Kong or a mainland China or Hong Kong entity, the funds or assets may not be available to fund operations or for other use outside of mainland China or Hong Kong. </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must remit the offering proceeds to our PRC Operating Entities before they may be used to benefit our business in China, the process of which may be time-consuming, and we cannot assure that we can finish all necessary governmental registration processes in a timely manner.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PRC regulations relating to the establishment of offshore special purpose companies by PRC residents may subject our PRC resident beneficial owners or our PRC Operating Entities to liability or penalties, limit our ability to inject capital into our PRC Entities, limit our PRC Entities’ ability to increase their registered capital or distribute profits to us, or may otherwise adversely affect us.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Vietnam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Precision Vietnam is based in Vietnam, so we face risks and uncertainties related to doing business in Vietnam in general,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economy in Vietnam may be subject to periods of high inflation which could materially and adversely affect our business, financial operation and results of operations and growth prospects.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Changes in the economic, political and legal environment of Vietnam, and Vietnam’s less developed legal system, may adversely affect our business, financial condition and results of operations.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Class A Ordinary Shares,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Our dual class structure may be dilutive to the voting power of Class A Ordinary Shareholders.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Concentration of voting power allows certain shareholders to exert significant control and prevent actions favored by other shareholders.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The market price for the Class A Ordinary Shares may be volatile. The trading prices of the Class A Ordinary Shares are likely to be volatile and could fluctuate widely due to factors beyond our control.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As a “controlled company” under the rules of the Nasdaq Capital Market, we may choose to exempt our company from certain corporate governance requirements that could have an adverse effect on our public shareholders. </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initiated a series of regulatory actions and statements to regulate activities in the overseas securities listing in China, including cracking down on illegal activities in the securities market, enhancing supervision over China-based companies listed overseas using a variable interest entity structure. On February 17, 2023, the China Securities Regulatory Commission (“CSRC”) released the Trial Administrative Measures of Overseas Securities Offering and Listing by Domestic Companies, or the Overseas Listing Trial Measures, and five supporting guidelines, which have come into effect on March 31, 2023. The Overseas Listing Trial Measures will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Domestic companies may also be required to file with the CSRC within 3 working days after any of our future issuance of securities on Nasdaq Capital Market including follow-on offerings, issuance of convertible bonds, depositary receipts, or other securities with equity characteristics. On February 24, 2023, CSRC published the Provisions on Strengthening the Confidentiality and Archives Administration Related to the Overseas Securities Offering and Listing by Domestic Enterprises, or the Provisions on Confidentiality and Archives Administration, which came into effect on March 31, 2023. The Provisions on Confidentiality and Archives Administration requires that, in the process of overseas issuance and listing of securities by domestic entities, the domestic entities, and securities companies and securities service institutions that provide relevant securities service shall strictly implement the provisions of relevant laws and regulations and the requirements of these provisions, establish and improve rules on confidentiality and archives administration. For details, see “</w:t>
      </w:r>
      <w:r>
        <w:rPr>
          <w:rFonts w:ascii="Times New Roman;Times;Serif" w:hAnsi="Times New Roman;Times;Serif"/>
          <w:b w:val="false"/>
          <w:i/>
          <w:caps w:val="false"/>
          <w:smallCaps w:val="false"/>
          <w:sz w:val="20"/>
        </w:rPr>
        <w:t>Item 3. Key Information—D. Risk Factors — Risks Related to Doing Business in China — 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PRC regulatory requirements regarding cybersecurity are evolving, including adopting new measures to extend the scope of cybersecurity reviews. As confirmed by our PRC counsel, we will not be subject to cybersecurity review with the Cyberspace Administration of China, or the “CAC,” after the Measures for Cybersecurity Review (the “Cybersecurity Review Measures”) became effective on February 15, 2022,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For more detailed information, see “</w:t>
      </w:r>
      <w:r>
        <w:rPr>
          <w:rFonts w:ascii="Times New Roman;Times;Serif" w:hAnsi="Times New Roman;Times;Serif"/>
          <w:b w:val="false"/>
          <w:i/>
          <w:caps w:val="false"/>
          <w:smallCaps w:val="false"/>
          <w:sz w:val="20"/>
        </w:rPr>
        <w:t>Item 3. Key Information—D. Risk Factors — Risks Related to Doing Business in China — 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r>
        <w:rPr>
          <w:rFonts w:ascii="Times New Roman;Times;Serif" w:hAnsi="Times New Roman;Times;Serif"/>
          <w:b w:val="false"/>
          <w:i w:val="false"/>
          <w:caps w:val="false"/>
          <w:smallCaps w:val="false"/>
          <w:sz w:val="20"/>
        </w:rPr>
        <w:t>” in the 2025 Annual Report, which is incorporated by reference into this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 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w:t>
      </w:r>
      <w:r>
        <w:rPr>
          <w:rFonts w:ascii="Times New Roman;Times;Serif" w:hAnsi="Times New Roman;Times;Serif"/>
          <w:b w:val="false"/>
          <w:i/>
          <w:caps w:val="false"/>
          <w:smallCaps w:val="false"/>
          <w:sz w:val="20"/>
        </w:rPr>
        <w:t>Item 3. Key Information—D.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Ordinary Shares may be subject to delisting</w:t>
      </w:r>
      <w:r>
        <w:rPr>
          <w:rFonts w:ascii="Times New Roman;Times;Serif" w:hAnsi="Times New Roman;Times;Serif"/>
          <w:b w:val="false"/>
          <w:i w:val="false"/>
          <w:caps w:val="false"/>
          <w:smallCaps w:val="false"/>
          <w:sz w:val="20"/>
        </w:rPr>
        <w:t>” in the 2024 Annual Report, which is incorporated by reference into this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THE OFFERING</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1"/>
        <w:gridCol w:w="60"/>
        <w:gridCol w:w="8304"/>
      </w:tblGrid>
      <w:tr>
        <w:trPr/>
        <w:tc>
          <w:tcPr>
            <w:tcW w:w="1841" w:type="dxa"/>
            <w:tcBorders/>
            <w:vAlign w:val="center"/>
          </w:tcPr>
          <w:p>
            <w:pPr>
              <w:pStyle w:val="TableContents"/>
              <w:bidi w:val="0"/>
              <w:spacing w:before="0" w:after="283"/>
              <w:jc w:val="left"/>
              <w:rPr>
                <w:b/>
                <w:sz w:val="20"/>
              </w:rPr>
            </w:pPr>
            <w:r>
              <w:rPr>
                <w:b/>
                <w:sz w:val="20"/>
              </w:rPr>
              <w:t>Class A Ordinary Shares offered by us</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sz w:val="20"/>
              </w:rPr>
            </w:pPr>
            <w:r>
              <w:rPr>
                <w:sz w:val="20"/>
              </w:rPr>
              <w:t>Class A Ordinary Shares having an aggregate offering price of up to $9,800,000.</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pPr>
            <w:r>
              <w:rPr/>
              <w:t> </w:t>
            </w:r>
          </w:p>
        </w:tc>
      </w:tr>
      <w:tr>
        <w:trPr/>
        <w:tc>
          <w:tcPr>
            <w:tcW w:w="1841" w:type="dxa"/>
            <w:tcBorders/>
            <w:vAlign w:val="center"/>
          </w:tcPr>
          <w:p>
            <w:pPr>
              <w:pStyle w:val="TableContents"/>
              <w:bidi w:val="0"/>
              <w:spacing w:before="0" w:after="283"/>
              <w:jc w:val="left"/>
              <w:rPr>
                <w:sz w:val="20"/>
              </w:rPr>
            </w:pPr>
            <w:r>
              <w:rPr>
                <w:b/>
                <w:sz w:val="20"/>
              </w:rPr>
              <w:t>Class</w:t>
            </w:r>
            <w:r>
              <w:rPr>
                <w:sz w:val="20"/>
              </w:rPr>
              <w:t> </w:t>
            </w:r>
            <w:r>
              <w:rPr>
                <w:b/>
                <w:sz w:val="20"/>
              </w:rPr>
              <w:t>A Ordinary Shares and Class B Ordinary Shares outstanding prior to this offering</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sz w:val="20"/>
              </w:rPr>
            </w:pPr>
            <w:r>
              <w:rPr>
                <w:sz w:val="20"/>
              </w:rPr>
              <w:t>55,322,249 Class A Ordinary Shares and 9,000,000 Class B Ordinary Shares issued and outstanding as of August 3, 2026.</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pPr>
            <w:r>
              <w:rPr/>
              <w:t> </w:t>
            </w:r>
          </w:p>
        </w:tc>
      </w:tr>
      <w:tr>
        <w:trPr/>
        <w:tc>
          <w:tcPr>
            <w:tcW w:w="1841" w:type="dxa"/>
            <w:tcBorders/>
            <w:vAlign w:val="center"/>
          </w:tcPr>
          <w:p>
            <w:pPr>
              <w:pStyle w:val="TableContents"/>
              <w:bidi w:val="0"/>
              <w:spacing w:before="0" w:after="283"/>
              <w:jc w:val="left"/>
              <w:rPr>
                <w:b/>
                <w:sz w:val="20"/>
              </w:rPr>
            </w:pPr>
            <w:r>
              <w:rPr>
                <w:b/>
                <w:sz w:val="20"/>
              </w:rPr>
              <w:t>Class A Ordinary Shares to be outstanding after this offering, assuming an offering price of $1.55 per share</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sz w:val="20"/>
              </w:rPr>
            </w:pPr>
            <w:r>
              <w:rPr>
                <w:sz w:val="20"/>
              </w:rPr>
              <w:t>No shares have been sold pursuant to the Sales Agreement as of the date hereof. The actual number of Class A Ordinary Shares outstanding after this offering will vary depending on the number of Class A Ordinary Shares sold and issued and the sales price of such shares. Up to 61,644,830 Class A Ordinary Shares will be outstanding after this offering, based on 55,322,249 Class A Ordinary Shares outstanding as of August 3, 2026 and the sale of 6,322,581 Class A Ordinary Shares in this offering at an assumed offering price of $1.55 per share, the last reported sale price of our Class A Ordinary Shares on the Nasdaq Capital Market on July 31, 2026. Because there is no minimum offering amount required as a condition to this offering, the actual total public offering amount, commissions and proceeds to us, if any, are not determinable at this time.</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left"/>
              <w:rPr/>
            </w:pPr>
            <w:r>
              <w:rPr/>
              <w:t> </w:t>
            </w:r>
          </w:p>
        </w:tc>
      </w:tr>
      <w:tr>
        <w:trPr/>
        <w:tc>
          <w:tcPr>
            <w:tcW w:w="1841" w:type="dxa"/>
            <w:tcBorders/>
            <w:vAlign w:val="center"/>
          </w:tcPr>
          <w:p>
            <w:pPr>
              <w:pStyle w:val="TableContents"/>
              <w:bidi w:val="0"/>
              <w:spacing w:before="0" w:after="283"/>
              <w:jc w:val="left"/>
              <w:rPr>
                <w:b/>
                <w:sz w:val="20"/>
              </w:rPr>
            </w:pPr>
            <w:r>
              <w:rPr>
                <w:b/>
                <w:sz w:val="20"/>
              </w:rPr>
              <w:t>Manner of offering</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pPr>
            <w:r>
              <w:rPr/>
              <w:t>“</w:t>
            </w:r>
            <w:r>
              <w:rPr>
                <w:sz w:val="20"/>
              </w:rPr>
              <w:t>At the market offering” as defined in Rule 415(a)(4) under the Securities Act that may be made from time to time on Nasdaq, the existing trading market for our Class A Ordinary Shares, through or to the Sales Agent, as sales agent or principal. See the section titled “</w:t>
            </w:r>
            <w:r>
              <w:rPr>
                <w:i/>
                <w:sz w:val="20"/>
              </w:rPr>
              <w:t>Plan of Distribution</w:t>
            </w:r>
            <w:r>
              <w:rPr>
                <w:sz w:val="20"/>
              </w:rPr>
              <w:t>” on page S-20 of this prospectus supplement.</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left"/>
              <w:rPr/>
            </w:pPr>
            <w:r>
              <w:rPr/>
              <w:t> </w:t>
            </w:r>
          </w:p>
        </w:tc>
      </w:tr>
      <w:tr>
        <w:trPr/>
        <w:tc>
          <w:tcPr>
            <w:tcW w:w="1841"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sz w:val="20"/>
              </w:rPr>
            </w:pPr>
            <w:r>
              <w:rPr>
                <w:sz w:val="20"/>
              </w:rPr>
              <w:t>We intend to use the net proceeds from this offering for general corporate purposes, which may include working capital, operating expenses, capital expenditures, potential acquisitions, business development activities and other strategic initiatives in line with the Company’s growth plans. See “</w:t>
            </w:r>
            <w:r>
              <w:rPr>
                <w:i/>
                <w:sz w:val="20"/>
              </w:rPr>
              <w:t>Use of Proceeds</w:t>
            </w:r>
            <w:r>
              <w:rPr>
                <w:sz w:val="20"/>
              </w:rPr>
              <w:t xml:space="preserve">.” </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left"/>
              <w:rPr/>
            </w:pPr>
            <w:r>
              <w:rPr/>
              <w:t> </w:t>
            </w:r>
          </w:p>
        </w:tc>
      </w:tr>
      <w:tr>
        <w:trPr/>
        <w:tc>
          <w:tcPr>
            <w:tcW w:w="1841"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sz w:val="20"/>
              </w:rPr>
            </w:pPr>
            <w:r>
              <w:rPr>
                <w:sz w:val="20"/>
              </w:rPr>
              <w:t>Investing in our Class A Ordinary Shares involves significant risks. See “</w:t>
            </w:r>
            <w:r>
              <w:rPr>
                <w:i/>
                <w:sz w:val="20"/>
              </w:rPr>
              <w:t>Risk Factors</w:t>
            </w:r>
            <w:r>
              <w:rPr>
                <w:sz w:val="20"/>
              </w:rPr>
              <w:t>” beginning on page S-13 of this prospectus supplement, page 7 of the accompanying prospectus and the documents incorporated by reference herein for a discussion of factors you should consider carefully before investing in our Class A Ordinary Shares.</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pPr>
            <w:r>
              <w:rPr/>
              <w:t> </w:t>
            </w:r>
          </w:p>
        </w:tc>
      </w:tr>
      <w:tr>
        <w:trPr/>
        <w:tc>
          <w:tcPr>
            <w:tcW w:w="1841" w:type="dxa"/>
            <w:tcBorders/>
            <w:vAlign w:val="center"/>
          </w:tcPr>
          <w:p>
            <w:pPr>
              <w:pStyle w:val="TableContents"/>
              <w:bidi w:val="0"/>
              <w:spacing w:before="0" w:after="283"/>
              <w:jc w:val="left"/>
              <w:rPr>
                <w:b/>
                <w:sz w:val="20"/>
              </w:rPr>
            </w:pPr>
            <w:r>
              <w:rPr>
                <w:b/>
                <w:sz w:val="20"/>
              </w:rPr>
              <w:t>Transfer Agent</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both"/>
              <w:rPr>
                <w:sz w:val="20"/>
              </w:rPr>
            </w:pPr>
            <w:r>
              <w:rPr>
                <w:sz w:val="20"/>
              </w:rPr>
              <w:t>VStock Transfer, LLC</w:t>
            </w:r>
          </w:p>
        </w:tc>
      </w:tr>
      <w:tr>
        <w:trPr/>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left"/>
              <w:rPr/>
            </w:pPr>
            <w:r>
              <w:rPr/>
              <w:t> </w:t>
            </w:r>
          </w:p>
        </w:tc>
      </w:tr>
      <w:tr>
        <w:trPr/>
        <w:tc>
          <w:tcPr>
            <w:tcW w:w="1841" w:type="dxa"/>
            <w:tcBorders/>
            <w:vAlign w:val="center"/>
          </w:tcPr>
          <w:p>
            <w:pPr>
              <w:pStyle w:val="TableContents"/>
              <w:bidi w:val="0"/>
              <w:spacing w:before="0" w:after="283"/>
              <w:jc w:val="left"/>
              <w:rPr>
                <w:b/>
                <w:sz w:val="20"/>
              </w:rPr>
            </w:pPr>
            <w:r>
              <w:rPr>
                <w:b/>
                <w:sz w:val="20"/>
              </w:rPr>
              <w:t>Nasdaq symbol</w:t>
            </w:r>
          </w:p>
        </w:tc>
        <w:tc>
          <w:tcPr>
            <w:tcW w:w="60" w:type="dxa"/>
            <w:tcBorders/>
            <w:vAlign w:val="center"/>
          </w:tcPr>
          <w:p>
            <w:pPr>
              <w:pStyle w:val="TableContents"/>
              <w:bidi w:val="0"/>
              <w:spacing w:before="0" w:after="283"/>
              <w:jc w:val="left"/>
              <w:rPr/>
            </w:pPr>
            <w:r>
              <w:rPr/>
              <w:t> </w:t>
            </w:r>
          </w:p>
        </w:tc>
        <w:tc>
          <w:tcPr>
            <w:tcW w:w="8304" w:type="dxa"/>
            <w:tcBorders/>
            <w:vAlign w:val="center"/>
          </w:tcPr>
          <w:p>
            <w:pPr>
              <w:pStyle w:val="TableContents"/>
              <w:bidi w:val="0"/>
              <w:spacing w:before="0" w:after="283"/>
              <w:jc w:val="left"/>
              <w:rPr/>
            </w:pPr>
            <w:r>
              <w:rPr/>
              <w:t>“</w:t>
            </w:r>
            <w:r>
              <w:rPr>
                <w:sz w:val="20"/>
              </w:rPr>
              <w:t>ZJK”</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Before making an investment decision, you should carefully consider the risks described below and under the heading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in the 2025 Annual Report, which is incorporated in this prospectus supplement by reference, together with any other information appearing or incorporated by reference in this prospectus supplement and in the accompanying prospectus, in light of your particular investment objectives and financial circumstances. In addition to those risk factors, there may be additional risks and uncertainties of which our management is unaware or deems immaterial. Our business, financial condition and results of operations could be materially and adversely affected by any of these risks. The trading price of our Class A Ordinary Shares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above.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our Class A Ordinary Shares may not provide investors with adequate 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of our Class A Ordinary Shares depends on a number of factors, including our financial condition and operating results, the number of holders of our Class A Ordinary Shares, the market for similar securities and the interest of securities dealers in making a market in the securities. We cannot predict the extent to which investor interest in us will maintain a trading market in our Class A Ordinary Shares, or how liquid that market will be. If an active market is not maintained, you may have difficulty selling Class A Ordinary Shares that you hold.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Class A Ordinary Shares that we will sell under the Sales Agreement or the gross proceeds resulting from those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the Sales Agent at any time, subject to certain exceptions provided for in the Sales Agreement, throughout the term of the Sales Agreement. The number of shares that are sold through the Sales Agent after delivering a placement notice will fluctuate based on a number of factors, including the market price of the Class A Ordinary Shares during the sales period, the limits we set with the Sales Agent in any applicable placement notice, and the demand for our Class A Ordinary Shares during the sales period. Actual gross proceeds may be less than $9,800,000. Because the price per Class A Ordinary Share of each share sold will fluctuate during the sales period, it is not currently possible to predict the number of Class A Ordinary Shares that will be sold or the actual gross proceeds to be raised in connection with those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have broad discretion in how we use the proceeds from this offering, we may use the proceeds in ways with which you disagree.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for general corporate purposes, which may include working capital, operating expenses, capital expenditures, potential acquisitions, business development activities and other strategic initiatives in line with the Company’s growth plans.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us a favorable, or any, return. The failure of our management to use the net proceeds effectively could have a material adverse effect on our business, financial condition, operating results and cash flow.</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share of the Class A Ordinary Shares you purchase in the offering. In addition, we may issue additional equity or convertible debt securities in the future, which may result in additional dilution to you.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as adjusted pro forma net tangible book value per share of our Class A Ordinary Shares outstanding as of December 31, 2025. Assuming that we sell an aggregate of 6,322,581 Class A Ordinary Shares at a price of $1.55 per share, the last reported sale price of our Class A Ordinary Shares on the Nasdaq Capital Market on July 31, 2026, for aggregate gross proceeds of approximately $9,800,000, and before deducting commissions and estimated offering expenses payable by us, you will experience immediate dilution of $0.79 per share, representing the difference between the assumed public offering price per Class A Ordinary Share and our as adjusted pro forma net tangible book value per share as of December 31, 2025 (retroactively adjusted to reflect the share capital reorganization effective March 6, 2026). See the section 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 for a more detailed illustration of the dilution you would incur if you participate in this offering. In addition, to the extent we need to raise additional capital in the future and we issue additional Class A Ordinary Shares or securities convertible or exchangeable for our Class A Ordinary Shares, our then existing shareholders may experience dilution and the new securities may have rights senior to those of our Class A Ordinary Shares offered in this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Class A Ordinary Shares offered hereby will be sold in “at-the-market” offerings, and investors who buy shares at different times will likely pay different prices.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and there is no minimum or maximum sales price. Investors may experience a decline in the value of the Class A Ordinary Shares they purchase in this offering as a result of sales made at prices lower than the prices they 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Sales of our Class A Ordinary Shares in this offering, or the perception that such sales may occur, could cause the market price of our Class A Ordinary Shares to fall.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our Class A Ordinary Shares for aggregate gross proceeds of up to $9,800,000 from time to time in connection with this offering. The issuance and sale from time to time of these new Class A Ordinary Shares, or our ability to issue these new Class A Ordinary Shares in this offering, could have the effect of depressing the market price of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our Class A Ordinary Shares may be sold in this offering and we may sell or issue additional Class A Ordinary Shares in the future, which could cause the price of our Class A Ordinary Shares to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restricted from issuing additional Class A Ordinary Shares from time to time. Class A Ordinary Shares to be issued in future equity offerings could cause the market price of our Class A Ordinary Shares to decline and could have an adverse effect on our earnings per share. In addition, future sales of our Class A Ordinary Shares or other securities in the public markets, or the perception that these sales may occur, could cause the market price of our Class A Ordinary Shares to decline, and could materially impair our ability to raise capital through the sale of additional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Ordinary Shares could decline due to sales, or the announcements of proposed sales, of a large number of Class A Ordinary Shares in the market, including sales of Class A Ordinary Shares by our large shareholders, or the perception that these sales could occur. These sales or the perception that these sales could occur could also depress the market price of our Class A Ordinary Shares and impair our ability to raise capital through the sale of additional equity securities or make it more difficult or impossible for us to sell equity securities in the future at a time and price that we deem appropriate. We cannot predict the effect that future sales of Class A Ordinary Shares or other equity-related securities would have on the market price of our Class A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among other things, issue additional Class A Ordinary Shares or securities convertible or exchangeable into Class A Ordinary Shares, without shareholder approval. We may issue such additional Class A Ordinary Shares or convertible securities to raise additional capital. The issuance of any additional Class A Ordinary Shares or convertible securities could be substantially dilutive to our shareholders. Moreover, to the extent that we issue restricted share units, stock appreciation rights, options or warrants to purchase our Class A Ordinary Shares in the future and those stock appreciation rights, options or warrants are exercised, or as the restricted share units settle, our shareholders may experience further dilution. Holders of our Class A Ordinary Shares have no preemptive rights that entitle such holders to purchase their pro rata share of any offering of shares or equivalent securities and, therefore, such sales or offerings could result in increased dilution to our shareholders. See the section 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sales under the at-the-market offering program may be made at prices reflecting the trading price at the time of sale, such sales, if any, could depress the market price of our Class A Ordinary Shares and may result in dilution to existing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sales under the at-the-market offering program may be made at prices reflecting the trading price at the time of sale, such sales, if any, could depress the market price of our Class A Ordinary Shares and may result in dilution to existing shareholders, including if we sell Class A Ordinary Shares at prices below recent trading prices or book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our at-the-market offering program is subject to us maintaining an effective registration statement and complying with applicable prospectus delivery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effectiveness of the registration statement of which this prospectus supplement and the accompanying prospectus form a part or comply with applicable prospectus delivery requirements, we will be unable to access the program, which could materially and adversely affect our liquidity and capital raising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As a “baby shelf” issuer under General Instruction I.B.5 of Form F-3, our ability to issue securities in primary offerings is limited to one-third of our public float over any 12-month period while our public float remains below$75 million.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constraints may limit the proceeds we can raise at any given time and could require us to suspend or reduce sales under the at-the-market offering program.</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our Class A Ordinary Shares having aggregate gross sales proceeds of up to $9,800,000 from time to time. Because there is no minimum offering amount required as a condition to close this offering, the actual total public offering amount, commissions and proceeds to us, if any, are not determinable at this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Class A Ordinary Shares offered hereby. We currently intend to use the net proceeds from this offering for general corporate purposes, which may include working capital, operating expenses, capital expenditures, potential acquisitions, business development activities and other strategic initiatives in line with the Company’s growth plans. The precise amount and timing of the application of such proceeds will depend upon our funding requirements and the availability and cost of other capital. As of the date of this prospectus supplement, we cannot specify with certainty all of the particular uses for the net proceeds that we will have from the sale of our Class A Ordinary Shares. Pending our use of the net proceeds from this offering, if any, we may invest the net proceeds in investment grade, short-term interest-bearing obligations, such as money-market funds, certificates of deposit, or direct or guaranteed obligations of the United States government, or hold the net proceeds as cash.</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DIVIDEND POLICY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plan to declare or pay any dividends in the near future on our Class A Ordinary Shares. We currently intend to retain most, if not all, of our available funds and any future earnings to operate and expand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to distribute dividends, subject to certain requirements of Cayman Islands law. In addition, subject to the provisions in our articles of association,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have not received and do not have any present plan to receive dividends paid by our subsidiaries, but we have discretion as to whether such dividends are paid, subject to applicable statutory and contractual restrictions.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CAPITALIZATION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December 31, 2025, on an actual basis and as adjusted to give effect to the sale of Class A Ordinary Shares in this offering at an assumed offering price of $1.55 per share, for aggregate gross proceeds of approximately $9,800,000, before deducting commissions and estimated offering expenses payable by us. You should read this information in conjunction with our consolidated financial statements and the related notes incorporated by reference in this prospectus supplement and the accompanying prospectus, as well as the detailed description of our share capital changes and consolidations provided herein.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5"/>
        <w:gridCol w:w="60"/>
        <w:gridCol w:w="60"/>
        <w:gridCol w:w="1100"/>
        <w:gridCol w:w="95"/>
        <w:gridCol w:w="60"/>
        <w:gridCol w:w="60"/>
        <w:gridCol w:w="1100"/>
        <w:gridCol w:w="85"/>
      </w:tblGrid>
      <w:tr>
        <w:trPr/>
        <w:tc>
          <w:tcPr>
            <w:tcW w:w="7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r>
      <w:tr>
        <w:trPr/>
        <w:tc>
          <w:tcPr>
            <w:tcW w:w="7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60" w:type="dxa"/>
            <w:tcBorders/>
            <w:vAlign w:val="center"/>
          </w:tcPr>
          <w:p>
            <w:pPr>
              <w:pStyle w:val="TableContents"/>
              <w:bidi w:val="0"/>
              <w:spacing w:before="0" w:after="283"/>
              <w:jc w:val="left"/>
              <w:rPr/>
            </w:pPr>
            <w:r>
              <w:rPr/>
              <w:t> </w:t>
            </w:r>
          </w:p>
        </w:tc>
        <w:tc>
          <w:tcPr>
            <w:tcW w:w="12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As </w:t>
              <w:br/>
              <w:t xml:space="preserve">adjusted </w:t>
              <w:br/>
              <w:t>for Offering</w:t>
            </w:r>
          </w:p>
        </w:tc>
      </w:tr>
      <w:tr>
        <w:trPr/>
        <w:tc>
          <w:tcPr>
            <w:tcW w:w="7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3"/>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45" w:type="dxa"/>
            <w:gridSpan w:val="3"/>
            <w:tcBorders/>
            <w:vAlign w:val="center"/>
          </w:tcPr>
          <w:p>
            <w:pPr>
              <w:pStyle w:val="TableContents"/>
              <w:bidi w:val="0"/>
              <w:spacing w:before="0" w:after="283"/>
              <w:ind w:left="0" w:right="0" w:hanging="200"/>
              <w:jc w:val="center"/>
              <w:rPr>
                <w:b/>
              </w:rPr>
            </w:pPr>
            <w:r>
              <w:rPr>
                <w:b/>
              </w:rPr>
              <w:t>$</w:t>
            </w:r>
          </w:p>
        </w:tc>
      </w:tr>
      <w:tr>
        <w:trPr/>
        <w:tc>
          <w:tcPr>
            <w:tcW w:w="7585" w:type="dxa"/>
            <w:tcBorders/>
            <w:shd w:fill="CCEEFF" w:val="clear"/>
            <w:vAlign w:val="center"/>
          </w:tcPr>
          <w:p>
            <w:pPr>
              <w:pStyle w:val="TableContents"/>
              <w:bidi w:val="0"/>
              <w:spacing w:before="0" w:after="283"/>
              <w:jc w:val="left"/>
              <w:rPr>
                <w:b/>
              </w:rPr>
            </w:pPr>
            <w:r>
              <w:rPr>
                <w:b/>
              </w:rPr>
              <w:t>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pPr>
            <w:r>
              <w:rPr/>
              <w:t>Short-term banking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7585" w:type="dxa"/>
            <w:tcBorders/>
            <w:shd w:fill="CCEEFF" w:val="clear"/>
            <w:vAlign w:val="center"/>
          </w:tcPr>
          <w:p>
            <w:pPr>
              <w:pStyle w:val="TableContents"/>
              <w:bidi w:val="0"/>
              <w:spacing w:before="0" w:after="283"/>
              <w:jc w:val="left"/>
              <w:rPr/>
            </w:pPr>
            <w:r>
              <w:rPr/>
              <w:t>Other long-term debts,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pPr>
            <w:r>
              <w:rPr/>
              <w:t>Other long-term debts,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7585" w:type="dxa"/>
            <w:tcBorders/>
            <w:shd w:fill="CCEEFF" w:val="clear"/>
            <w:vAlign w:val="center"/>
          </w:tcPr>
          <w:p>
            <w:pPr>
              <w:pStyle w:val="TableContents"/>
              <w:bidi w:val="0"/>
              <w:spacing w:before="0" w:after="283"/>
              <w:jc w:val="left"/>
              <w:rPr>
                <w:b/>
              </w:rPr>
            </w:pPr>
            <w:r>
              <w:rPr>
                <w:b/>
              </w:rPr>
              <w:t>Total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7585" w:type="dxa"/>
            <w:tcBorders/>
            <w:shd w:fill="CCEEFF" w:val="clear"/>
            <w:vAlign w:val="center"/>
          </w:tcPr>
          <w:p>
            <w:pPr>
              <w:pStyle w:val="TableContents"/>
              <w:bidi w:val="0"/>
              <w:spacing w:before="0" w:after="283"/>
              <w:jc w:val="left"/>
              <w:rPr/>
            </w:pPr>
            <w:r>
              <w:rPr/>
              <w:t>Class A Ordinary Shares, US$0.000016666667 par value, 2,991,000,000 Class A Ordinary Shares authorized, 54,822,249 Class A Ordinary Shares issued and outstanding, actual, and 61,144,830 Class A Ordinary Shares issued and outstanding, as adjusted;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1,018</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pPr>
            <w:r>
              <w:rPr/>
              <w:t>Class B Ordinary Shares, US$0.000016666667 par value, 9,000,000 Class B Ordinary Shares authorized, 9,000,000 Class B Ordinary Shares issued and outstanding, actual, and 9,000,000 Class B Ordinary Shares issued and outstanding, as 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758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8,977,814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18,777,709</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pPr>
            <w:r>
              <w:rPr/>
              <w:t>Statutory surplus reserves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2,662,115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2,662,115</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7585"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32,132,905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32,132,905</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(304,868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(304,868</w:t>
            </w:r>
          </w:p>
        </w:tc>
        <w:tc>
          <w:tcPr>
            <w:tcW w:w="85" w:type="dxa"/>
            <w:tcBorders/>
            <w:shd w:fill="FFFFFF" w:val="clear"/>
            <w:vAlign w:val="center"/>
          </w:tcPr>
          <w:p>
            <w:pPr>
              <w:pStyle w:val="TableContents"/>
              <w:bidi w:val="0"/>
              <w:spacing w:before="0" w:after="283"/>
              <w:ind w:left="0" w:right="0" w:hanging="200"/>
              <w:jc w:val="left"/>
              <w:rPr/>
            </w:pPr>
            <w:r>
              <w:rPr/>
              <w:t>)</w:t>
            </w:r>
          </w:p>
        </w:tc>
      </w:tr>
      <w:tr>
        <w:trPr/>
        <w:tc>
          <w:tcPr>
            <w:tcW w:w="7585" w:type="dxa"/>
            <w:tcBorders/>
            <w:shd w:fill="CCEEFF" w:val="clear"/>
            <w:vAlign w:val="center"/>
          </w:tcPr>
          <w:p>
            <w:pPr>
              <w:pStyle w:val="TableContents"/>
              <w:bidi w:val="0"/>
              <w:spacing w:before="0" w:after="283"/>
              <w:jc w:val="left"/>
              <w:rPr>
                <w:b/>
              </w:rPr>
            </w:pPr>
            <w:r>
              <w:rPr>
                <w:b/>
              </w:rPr>
              <w:t>Total ZJK Industrial Co., Ltd.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43,469,029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53,269,029</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125,199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125,199</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7585"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43,594,228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53,394,228</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7585" w:type="dxa"/>
            <w:tcBorders/>
            <w:shd w:fill="FFFFFF" w:val="clear"/>
            <w:vAlign w:val="center"/>
          </w:tcPr>
          <w:p>
            <w:pPr>
              <w:pStyle w:val="TableContents"/>
              <w:bidi w:val="0"/>
              <w:spacing w:before="0" w:after="283"/>
              <w:jc w:val="left"/>
              <w:rPr>
                <w:b/>
              </w:rPr>
            </w:pPr>
            <w:r>
              <w:rPr>
                <w:b/>
              </w:rPr>
              <w:t>Total 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43,594,228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53,394,228</w:t>
            </w:r>
          </w:p>
        </w:tc>
        <w:tc>
          <w:tcPr>
            <w:tcW w:w="8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DILUTION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Class A Ordinary Shares being offered in this offering, you may experience dilution to the extent of the difference between the assumed public offering price per Class A Ordinary Share and our as adjusted pro forma net tangible book value per ordinary share immediately after this offering. Such dilution results from the fact that the public offering price per Class A Ordinary Share may be substantially higher than the as adjusted pro forma net tangible book value per ordinary share attributable to the existing shareholders for our presently outstanding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voting and conversion rights. In respect of matters requiring a vote of all shareholders, on a poll, each holder of Class A Ordinary Shares is entitled to one vote per Class A Ordinary Share and each holder of Class B Ordinary Shares is entitled to 30 votes per Class B Ordinary Share. The Class A Ordinary Shares are not convertible into shares of any other class. The Class B Ordinary Shares are convertible into Class A Ordinary Shares at any time after issuance at the option of the holder thereof on a one-for-one basis. No Class B Ordinary Shares are being or will be converted as part of this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December 31, 2025, was $43,371,596 or $0.68 per ordinary share. Net tangible book value represents the amount of our total consolidated tangible assets, less the amount of our total consolidated liabilities. The information above is based on an aggregate of 54,822,249 Class A Ordinary Shares and 9,000,000 Class B Ordinary Shares issued and outstanding as of December 31, 2025, all figures retroactively adjusted to reflect the share capital reorganization of the Company effective from March 6, 2026. Dilution is determined by subtracting the net tangible book value per Class A Ordinary Share from the public offering price per Class A Ordinary Share and before deducting the estimated offering expenses payable by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our Class A Ordinary Shares in this offering, at an assumed offering price of $1.55 per share, the last reported sale price of our Class A Ordinary Shares on Nasdaq on July 31, 2026, and before deducting commissions and estimated offering expenses payable by us, our as adjusted pro forma net tangible book value as of December 31, 2025 would have been $53,171,596 or $0.76 per ordinary share. This represents an immediate increase in the net tangible book value of $0.08 per ordinary share to our existing shareholders and an immediate dilution in net tangible book value of approximately $0.79 per ordinary share to new investors. The following table illustrates per share dilution:</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90"/>
        <w:gridCol w:w="60"/>
        <w:gridCol w:w="140"/>
        <w:gridCol w:w="440"/>
        <w:gridCol w:w="75"/>
      </w:tblGrid>
      <w:tr>
        <w:trPr/>
        <w:tc>
          <w:tcPr>
            <w:tcW w:w="9490" w:type="dxa"/>
            <w:tcBorders/>
            <w:shd w:fill="CCEEFF" w:val="clear"/>
            <w:vAlign w:val="center"/>
          </w:tcPr>
          <w:p>
            <w:pPr>
              <w:pStyle w:val="TableContents"/>
              <w:bidi w:val="0"/>
              <w:spacing w:before="0" w:after="283"/>
              <w:ind w:left="0" w:right="0" w:hanging="200"/>
              <w:jc w:val="left"/>
              <w:rPr/>
            </w:pPr>
            <w:r>
              <w:rPr/>
              <w:t>Assumed public offering price per Class A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1.55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9490" w:type="dxa"/>
            <w:tcBorders/>
            <w:shd w:fill="FFFFFF" w:val="clear"/>
            <w:vAlign w:val="center"/>
          </w:tcPr>
          <w:p>
            <w:pPr>
              <w:pStyle w:val="TableContents"/>
              <w:bidi w:val="0"/>
              <w:spacing w:before="0" w:after="283"/>
              <w:jc w:val="left"/>
              <w:rPr/>
            </w:pPr>
            <w:r>
              <w:rPr/>
              <w:t>Net tangible book value per ordinary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0.68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9490" w:type="dxa"/>
            <w:tcBorders/>
            <w:shd w:fill="CCEEFF" w:val="clear"/>
            <w:vAlign w:val="center"/>
          </w:tcPr>
          <w:p>
            <w:pPr>
              <w:pStyle w:val="TableContents"/>
              <w:bidi w:val="0"/>
              <w:spacing w:before="0" w:after="283"/>
              <w:jc w:val="left"/>
              <w:rPr/>
            </w:pPr>
            <w:r>
              <w:rPr/>
              <w:t>Increase in net tangible book value per ordinary share,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0.08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9490" w:type="dxa"/>
            <w:tcBorders/>
            <w:shd w:fill="FFFFFF" w:val="clear"/>
            <w:vAlign w:val="center"/>
          </w:tcPr>
          <w:p>
            <w:pPr>
              <w:pStyle w:val="TableContents"/>
              <w:bidi w:val="0"/>
              <w:spacing w:before="0" w:after="283"/>
              <w:jc w:val="left"/>
              <w:rPr/>
            </w:pPr>
            <w:r>
              <w:rPr/>
              <w:t>As adjusted pro forma net tangible book value per ordinary share as of December 31, 2025,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0.76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9490" w:type="dxa"/>
            <w:tcBorders/>
            <w:shd w:fill="CCEEFF" w:val="clear"/>
            <w:vAlign w:val="center"/>
          </w:tcPr>
          <w:p>
            <w:pPr>
              <w:pStyle w:val="TableContents"/>
              <w:bidi w:val="0"/>
              <w:spacing w:before="0" w:after="283"/>
              <w:jc w:val="left"/>
              <w:rPr/>
            </w:pPr>
            <w:r>
              <w:rPr/>
              <w:t>Dilution per share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0.79</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above is based on an aggregate of 54,822,249 Class A Ordinary Shares and 9,000,000 Class B Ordinary Shares issued and outstanding as of December 31, 2025, all figures retroactively adjusted to reflect the share capital reorganization of the Company effective from March 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6,322,581 Class A Ordinary Shares are sold at a price of $1.55 per share, the last reported sale price of our Class A Ordinary Shares on Nasdaq on July 31, 2026, for aggregate gross proceeds of approximately $9,800,000. The shares sold in this offering, if any, will be sold from time to time at various prices. An increase of $1.00 per share in the price at which the shares are sold from the assumed offering price of $1.55 per share shown in the table above, assuming all of our Class A Ordinary Shares in the aggregate amount of $9,800,000 is sold at that price, would increase our as adjusted pro forma net tangible book value per share after the offering to $0.79 per share and would increase the dilution in net tangible book value per share to new investors in this offering to $1.76 per share, before deducting commissions and estimated offering expenses payable by us. A decrease of $1.00 per share in the price at which the shares are sold from the assumed offering price of $1.55 per share shown in the table above, assuming all of our Class A Ordinary Shares in the aggregate amount of $9,800,000 is sold at that price, would decrease our adjusted net tangible book value per share after the offering to $0.65 per share and would result in accretion in net tangible book value per share to new investors in this offering to $0.10 per share, after deducting estimated offering expenses and commissions payable by us. This information is supplied for illustrative purposes only.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options or warrants are exercised, or we issue other shares, investors purchasing shares in this offering could experience further dilution. In addition, to the extent that we raise additional capital through the sale of equity or convertible debt securities, the issuance of those securities could result in further dilution to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S-19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with Chaince Securities, LLC (“Chaince”) under which we may offer and sell our Class A Ordinary Shares from time to time, in amounts we instruct, through or to Chaince, acting as our sales agent or principal. Sales, if any, will be made in transactions deemed to be “at-the-market offerings” as defined in Rule 415(a)(4) under the Securities Act, including sales made directly on the Nasdaq Capital Market, to or through a market maker, at prevailing market prices, at prices related to prevailing market prices or at negotiated prices, or by any other method permitted by law. If we and Chaince agree to a method of distribution other than sales on or through an existing U.S. trading market at market prices, we will file an additional prospectus supplement as required by Rule 424(b).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sell Class A Ordinary Shares under the Sales Agreement, we will deliver a placement notice that sets the parameters for sales, including the number of shares, the time period for sales, any daily limits, and any minimum price. Upon our instructions and subject to the terms of the Sales Agreement, Chaince will use commercially reasonable efforts, consistent with its normal trading and sales practices and applicable law and Nasdaq rules, to sell our Class A Ordinary Shares. We or Chaince may suspend sales at any time upon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Chaince will provide written confirmation to us no later than the opening of the trading day immediately following each trading day on which sales are made through it as our sales agent, setting forth the number of shares sold on such day, the volume-weighted average price of the shares sold, and the net proceeds to us. We will report at least quarterly the number of shares sold under the Sales Agreement and the net proceeds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and Chaince agree otherwise, settlement will occur on the first trading day following each date on which sales are made (each, a “Settlement Date”). On or before each Settlement Date, we will (or will cause our transfer agent to) deliver the shares electronically through The Depository Trust Company’s Deposit/Withdrawal at Custodian (DWAC) system, or by such other means as we and Chaince may agree, and Chaince will deliver to us the related net proceeds in same-day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Chaince a commission of up to 3.0% of the gross sales price of the shares sold through it as our sales agent, plus a per share fee of US$0.02 per Class A Ordinary Share sold to cover execution and clearing costs. We have also agreed to reimburse Chaince for certain expenses in connection with the Sales Agreement, including the reasonable and documented out-of-pocket fees and disbursements of counsel to Chaince in amounts (x) not to exceed $100,000 in connection with the negotiation, execution and initial implementation of the Sales Agreement and the transactions contemplated thereby, and (y) not to exceed $10,000 for each representation date on which the Company is required to provide a certificate under Section 7(l) of the Sales Agreement. We have paid an engagement fee of $50,000 to Chaince upon the signing of the engagement letter agreement by and between us and Chaince, dated May 18,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are no minimum sale requirements, the actual total public offering price, commissions, and net proceeds, if any, are not determinable at this time. The actual dollar amount and number of shares we sell, if any, will depend on market conditions and our capital needs.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S-20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sales under this prospectus supplement, Chaince is required to comply with applicable provisions of the Securities Act and the Exchange Act, including Regulation M. Accordingly, during any distribution under this prospectus supplement, Chaince will not bid for or purchase, or attempt to induce any person to bid for or purchase, our Class A Ordinary Shares, or engage in any transactions that are intended to stabilize or maintain the market price of our Class A Ordinary Shares, except as permitted by Regulation M. Chaince may engage in passive market-making transactions on the Nasdaq Capital Market in accordance with Rule 103 of Regulation M, to the extent permitted by that rule.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upon the earlier of (i) the sale of all Class A Ordinary Shares subject to the Sales Agreement or (ii) the termination of the Sales Agreement in accordance with its terms. We may terminate the Sales Agreement in our sole discretion at any time upon five (5) days’ prior written notice to Chaince. Chaince may terminate the Sales Agreement in its sole discretion under the circumstances specified therein upon five (5) days’ prior written notice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has been or will be filed as an exhibit to a Report of Foreign Private Issuer on Form 6-K filed with the SEC in connection with this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“ZJK.”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VStock Transfer,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provide customary indemnification and contribution, and Chaince will be deemed to be an “underwriter” within the meaning of the Securities Act in connection with these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has been or will be taken in any jurisdiction outside the United States that would permit a public offering of the securities or the distribution of this prospectus supplement or the accompanying prospectus. Persons outside the United States who come into possession of this document must inform themselves about, and observe, any restrictions relating to the offering and the distribution of this document.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Chaince and its affiliates may make or hold a broad array of investments and actively trade debt and equity securities and other financial instruments (including derivatives and bank loans) for their own accounts and for the accounts of their customers, which may involve our securities. Chaince and its affiliates may also provide from time to time investment banking, commercial banking, financial advisory, or other services to us or our affiliates, for which they may receive customary fees.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Sales Agreement, on December 15, 2025, prior to the Company’s engagement of Chaince as the sales agent for this at-the-market offering, we entered into a Business Consulting Agreement with Chaince (the “Business Consulting Agreement”), pursuant to which Chaince agreed to provide us with advisory services relating to capital markets financing. The Business Consulting Agreement has a term of five years commencing on December 15, 2025. As consideration for the services to be provided under the Business Consulting Agreement, the Company agreed to issue to Chaince 500,000 Class A Ordinary Shares (the “Consideration Shares”) in each service year. We issued 500,000 Consideration Shares for the first service year. Thereafter, following the end of each service year, we will evaluate Chaince’s performance in good faith, and if Chaince has fully performed the services in all material respects, we will issue 500,000 Consideration Shares at the beginning of the subsequent service year as consideration for services to be provided during such year. The Consideration Shares will be subject to a twelve-month lock-up period from the date of issuance. The Consideration Shares that are issued and issuable under the Business Consulting Agreement constitute compensation solely for the consulting services described therein and are not compensation for Chaince’s services as sales agent in this offering, which are separately compensated under the Sales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Chaince is acting as our sales agent in this at-the-market offering and also provides strategic advisory and consulting services to us under the Business Consulting Agreement, investors should be aware that Chaince has multiple commercial relationships with the Company. The sales agent commission and Per Share Fee payable under the Sales Agreement represent Chaince’s sole compensation for services rendered as sales agent in connection with this offering.</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S-21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Class A Ordinary Shares offered in this offering and certain other legal matters as to Cayman Islands law will be passed upon for us by Ogier (Cayman) LLP, our counsel as to Cayman Islands law. Legal matters as to PRC law will be passed upon for us by Global Law Office. Lucosky Brookman LLP is acting as counsel for the Sales Agent in connection with this offering.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and its subsidiaries as of December 31, 2024 and 2025, and for each of the two years in the period ended December 31, 2025, incorporated by reference into this prospectus from the 2025 Annual Report, have been audited by HTL International, LLC, an independent registered public accounting firm, as stated in its report. The consolidated financial statements of PSM-ZJK Fasteners (Shenzhen) Co., Ltd. as of December 31, 2024 and 2025, and for each of the two years in the period ended December 31, 2025, incorporated by reference into this prospectus supplement from the 2025 Annual Report, have been audited by HTL International, LLC, an independent registered public accounting firm, as stated in its report. Such financial statements have been so included in reliance upon the report of such firm given upon their its as experts in auditing and accounting. The office of HTL International, LLC is located at 12 Greenway Plaza Suite 1100 Houston, TX 77046.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and its subsidiaries as of and for the year ended December 31, 2023, incorporated by reference into this prospectus supplement from the 2025 Annual Report, have been audited by TPS Thayer, LLC, an independent registered public accounting firm, as stated in its report. The financial statements of PSM-ZJK Fasteners (Shenzhen) Co., Ltd as of and for the year ended December 31, 2023, incorporated by reference into this prospectus supplement from the 2025 Annual Report, have been audited by TPS Thayer, LLC, an independent registered public accounting firm, as stated in its report. Such financial statements have been so included in reliance upon the report of such firm given upon their authority as experts in auditing and accounting. The office of TPS Thayer, LLC is located at 1600 Hwy. 6, Suite 100, Sugar Land, TX 77478.</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5" w:name="a_014"/>
      <w:bookmarkEnd w:id="15"/>
      <w:r>
        <w:rPr>
          <w:rFonts w:ascii="Times New Roman;Times;Serif" w:hAnsi="Times New Roman;Times;Serif"/>
          <w:b/>
          <w:i w:val="false"/>
          <w:caps/>
          <w:sz w:val="20"/>
        </w:rPr>
        <w:t>Incorporation of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BY REFERENCE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certain information that we file with the SEC. This means that we can disclose important information to you by referring you to those documents. Any statement contained in a document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 xml:space="preserve">our annual report on </w:t>
            </w:r>
            <w:hyperlink r:id="rId5">
              <w:r>
                <w:rPr>
                  <w:rStyle w:val="InternetLink"/>
                </w:rPr>
                <w:t>Form 20-F</w:t>
              </w:r>
            </w:hyperlink>
            <w:r>
              <w:rPr/>
              <w:t xml:space="preserve"> for the fiscal year ended December 31, 2025 filed with the SEC on April 29,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both"/>
              <w:rPr/>
            </w:pPr>
            <w:r>
              <w:rPr/>
              <w:t xml:space="preserve">the description of our securities contained in our registration statement on </w:t>
            </w:r>
            <w:hyperlink r:id="rId6">
              <w:r>
                <w:rPr>
                  <w:rStyle w:val="InternetLink"/>
                  <w:strike w:val="false"/>
                  <w:dstrike w:val="false"/>
                  <w:u w:val="none"/>
                  <w:effect w:val="none"/>
                </w:rPr>
                <w:t>Form 8-A</w:t>
              </w:r>
            </w:hyperlink>
            <w:r>
              <w:rPr/>
              <w:t xml:space="preserve"> filed with the SEC on September 26, 2024, as updated by the description of securities contained in the </w:t>
            </w:r>
            <w:hyperlink r:id="rId7">
              <w:r>
                <w:rPr>
                  <w:rStyle w:val="InternetLink"/>
                  <w:strike w:val="false"/>
                  <w:dstrike w:val="false"/>
                  <w:u w:val="none"/>
                  <w:effect w:val="none"/>
                </w:rPr>
                <w:t>exhibit 2.3</w:t>
              </w:r>
            </w:hyperlink>
            <w:r>
              <w:rPr/>
              <w:t xml:space="preserve"> to the 2025 </w:t>
            </w:r>
            <w:r>
              <w:rPr>
                <w:strike w:val="false"/>
                <w:dstrike w:val="false"/>
                <w:u w:val="none"/>
                <w:effect w:val="none"/>
              </w:rPr>
              <w:t>Annual Report</w:t>
            </w:r>
            <w:r>
              <w:rPr/>
              <w:t xml:space="preserve"> filed with the SEC on April 29,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283"/>
              <w:jc w:val="both"/>
              <w:rPr/>
            </w:pPr>
            <w:r>
              <w:rPr/>
              <w:t>any future annual reports on Form 20-F filed with the SEC after the date of this prospectus supplement and prior to the termination of the offering of the securities offered by this prospectus supplement;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283"/>
              <w:jc w:val="both"/>
              <w:rPr/>
            </w:pPr>
            <w:r>
              <w:rPr/>
              <w:t>any future reports of foreign private issuer on Form 6-K that we furnish to the SEC after the date of this prospectus supplement that are identified in such reports as being incorporated by reference into the registration statement of which this prospectus supplement forms a part.</w:t>
            </w:r>
          </w:p>
        </w:tc>
      </w:tr>
    </w:tbl>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S-22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 xml:space="preserve">Our annual report on </w:t>
      </w:r>
      <w:hyperlink r:id="rId8">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April 29, 2026, contains a description of our business and audited consolidated financial statements with a report by our independent auditors. These statements were prepared in accordance with U.S. GAAP.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No.8, Jingqiang Road, 138 Industrial Zone,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Xiuxin Community, Kengzi Town,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Pingshan New Area, Shenzhen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518122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+86-0755-28341175</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ADDITIONAL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supplement omits certain information and exhibits that are included in the registration statement of which this prospectus supplement forms a part. Since this prospectus supplement may not contain all of the information that you may find important, you should review the full text of these documents. If we have filed a contract, agreement, or other document as an exhibit to the registration statement of which this prospectus supplement forms a part, you should read the exhibit for a more complete understanding of the document or matter involved. Each statement in this prospectus supplement, including statements incorporated by reference as discussed above, regarding a contract, agreement, or other document is qualified in its entirety by reference to the actual document.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the Company’s website at CHSN.cn. The information contained on our website is not a part of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S-23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276350" cy="942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276350" cy="9429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the securities of ZJK Industrial Co., Ltd., a Cayman Islands holding company. We may, from time to time, in one or more offerings, offer and sell up to $300,000,000 of our Class A ordinary shares of par value $0.000016666667 each (the “Class A Ordinary Shares”), warrants, rights, and units, or any combination thereof, together or separately as described in this prospectus. In this prospectus, references to the term “securities” refers, collectively, to our Class A Ordinary Shares, warrants, rights, and units.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selling shareholders named in a prospectus supplement may offer and sell our Class A Ordinary Shares held by them. We will not receive any proceeds from the sale of our Class A Ordinary Shares by selling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You should read this prospectus, any prospectus supplement, and any free writing prospectus before you invest in any of our securities. The prospectus supplement and any related free writing prospectus may add, update, or change information in this prospectus. You should read carefully this prospectus, the applicable prospectus supplement, and any related free writing prospectus, as well as the documents incorporated or deemed to be incorporated by reference, before you invest in any of our securities. This prospectus may not be used to offer or sell any securities unless accompanied by the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please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or “Nasdaq,” under the symbol “ZJK.” On March 20, 2026, the last reported sale price of our Class A Ordinary Shares on the Nasdaq was $2.21 per share. The aggregate market value of our outstanding Class A Ordinary Shares held by non-affiliates, or public float, as of March 20, 2026, was approximately $33,477,215, which was calculated based on 15,148,061 Class A Ordinary Shares held by non-affiliates and the price of $2.21 per share, which was the closing price of our Class A Ordinary Shares on the Nasdaq Capital Market on March 20, 2026. Pursuant to General Instruction I.B.5 of Form F-3, in no event will we sell our securities in a public primary offering with a value exceeding more than one-third of our public float in any 12-month period so long as our public float remains below $75 million. During the 12 calendar months prior to and including the date of this prospectus, we have not offered or sold any securities pursuant to General Instruction I.B.5 of Form F-3.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13 of this prospectus and risk factors set forth in our most recent annual report on Form 20-F (the “2024 Annual Report”), in other reports incorporated herein by reference, and in an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selling shareholders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a more complete description of the ways in which the securities may be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which we refer to as “Zhongjinke,” “the Company,” or “Cayman Islands holding company,” is a Cayman Islands exempted company with limited liability that operates as a holding company with no material operations of its own, and conducts substantially all of its operations through Shenzhen Zhongjinke Hardware Products Co., Ltd, which we refer to as “Zhongjinke Shenzhen”, Zhongke Precision Components (Guangdong) Co., Ltd, which we refer to as “Zhongke Components”, and ZJK Vietnam Precision Components Company Limited, which we refer to as “Precision Vietnam”. Zhongjinke Shenzhen holds 100% of the shares of ZJK Precision Parts HK Limited, which we refer to as “Precision HK”, 100% of the shares of Zhongke Components, 51% of the shares of Nanjing Zhongjinke Hardware Products Co., Ltd., which we refer to as “Zhongjinke Nanjing,” and 49% of PSM-ZJK Fasteners (Shenzhen) Co., Ltd, which we refer to as “PSM-ZJK”. We will refer to Zhongjinke Shenzhen, Zhongke Components and Zhongjinke Nanjing collectively as “PRC Operating Subsidiaries,” and PRC Operating Subsidiaries and PSM-ZJK collectively as “PRC Operating Entities.” Precision HK holds 100% of the shares of Precision Vietnam. We will refer to PRC Operating Subsidiaries and Precision Vietnam collectively as “Operating Subsidiaries”; PRC Operating Entities and Precision Vietnam collectively as “Operating Entities”. The securities offered in this prospectus are shares of Zhongjinke, our Cayman Islands holding company, instead of securities of our Operating Entities. Investors in our securitis should be aware that they may never directly hold equity interests in our Operating Subsidiaries or Operating Entities.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indirectly hold equity interests in our PRC Entities, Zhongjinke Shenzhen, Zhongke Components, Zhongjinke Nanjing and PSM-ZJK, through our BVI subsidiary, ZJK Enterprises Group (BVI) Company Limited, which we refer to as “Zhongjinke BVI” or “BVI subsidiary.” Zhongjinke BVI holds 100% of the shares of our Hong Kong subsidiary, ZJK Industrial Group HongKong Limited, which we refer to as “Zhongjinke HK” or “Hong Kong subsidiary.” Zhongjinke HK holds 100% of Zhongke Chuangwei (Shenzhen) International Holdings Limited and Galaxy Exploration Investment Holding Limited, which we refer to as “Zhongjinke WFOE” and “Galaxy Exploration,” respectively. Zhongjinke WFOE and Galaxy Exploration holds 99.225% and 0.775% of the shares of Zhongjinke Shenzhen, respectively. We refer to Zhongjinke WFOE and the PRC Operating Subsidiaries collectively as “PRC Subsidiaries,” and Zhongjinke WFOE and the PRC Operating Entities collectively as “PRC Entities.”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Entities were organized in the PRC and governed by the PRC laws. We do not have a variable interest entity (“VIE”) 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statements by the PRC government have indicated an intent to exert more oversight and control over offerings that are conducted overseas and/or foreign investments in China-based issuers. The PRC government recently initiated a series of regulatory actions and made a number of public statements on the regulation of business operations in China,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On February 17, 2023, the CSRC issued the Trial Administrative Measures of Overseas Securities Offering and Listing by Domestic Companies (the “Trial Administrative Measures”) and supporting guidance (collectively, the “Filing Rules on Overseas Listings”), which came into effect on March 31, 2023. The Filing Rules on Overseas Listings, among other things, stipulate that, after making relevant applications with overseas stock markets for initial public offerings or listings, all China-based companies shall file with the CSRC within three working days. Where a China-based company submits its application for initial public offering and listing overseas by secret or non-public means, it may submit explanations at the time of filing with the CSRC, apply to postpone the disclosure of the information, and shall report to the CSRC within three working days after the applications for offering and listing are submitted public overseas. After completing overseas offerings and listings, China-based companies shall report to the CSRC in accordance with the guidance. China-based companies applying for overseas offerings and listings after March 31, 2023 shall file with the CSRC within three working days after submitting the application for listing overseas. Furthermore, on February 24, 2023, the CSRC, together with the Ministry of Finance, the National Administration of State Secrets Protection Bureau and the National Archives Administration issued the “Provisions on Strengthening Confidentiality and Archives Administration of Overseas Securities Offering and Listing by Domestic Companies” (the “Archives Rules”), which also came into effect on March 31, 2023. As is consistent with the Filing Rules on Overseas Listings, the Archives Rules expand their application to cover indirect overseas offering and listing, stipulating that a domestic company which plans to publicly disclose any documents and materials containing state secrets or working secrets of government agencies, shall first obtain approval from competent authorities according to law, and file with the secrecy administrative department at the same level. According to the Filing Rules on Overseas Listings, we are required to file with the CSRC and obtain its approval to be listed on Nasdaq Capital Market. On October 7, 2023, we submitted a filing with the CSRC in connection with this offering, which was within three working days after submitting the filing application for listing overseas, and the CSRC published the notification on our completion of the required filing procedures on January 22, 2024. In addition, we are required to report the offering and listing status to the CSRC within 15 business days from our completion of this offering. If we fail to complete this offering within 12 months from the issuance date of the filing notification, and the offering is still under progress, we are required to update the filing materials and documents with the CSRC, which may take us additional time to comply with the filing requirements. We have reported the offering and listing status to the CSRC within 15 business days from our completion of this offering on September 30, 2024. We may also be required to file with the CSRC within 3 working days after any of our future issuance of securities on Nasdaq Capital Market including follow-on offerings, issuance of convertible bonds, depositary receipts, or other securities with equity characteristics. If we fail to comply with the filing procedures stipulated in the Filing Rules on Overseas Listings after our future follow on offerings, the CSRC may order us to rectify the violation, issue a warning, and impose a fine ranging from RMB1 million to RMB10 million.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securities of the offshore Cayman Islands holding company, Zhongjinke, which indirectly holds equity interest in our Operating Entities. Investors in the securities are not purchasing, and may never directly hold, securities of our Operating Entities that have substantive business operations. Investing in our securities is highly speculative, involves a high degree of risk and should be considered only by persons who can afford the loss of their entire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Zhongjinke nor any of its subsidiaries has cash management policies which dictate the purpose, amount and procedure of cash transfers between the entities. Each entity needs to comply with applicable laws or regulations with respect to transfer of funds, dividends and distributions with other entities. As a holding company, we may rely on transfer of funds, dividends and other distributions on equity paid by our subsidiaries for our cash and financing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have been no cash flow transactions between the Company and its subsidiaries. In the future, cash proceeds from overseas financing activities, including this offering, will be transferred by Zhongjinke to its subsidiaries via capital contribution or shareholder loans, as the case may be.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raised from overseas financing activities, including the cash proceeds from this offering, will be transferred by us to Zhongjinke BVI, and then transferred to Zhongjinke HK, and then transferred to Zhongjinke WFOE and/or Galaxy Exploration, and then transferred to Zhongjinke Shenzhen, which will then be transferred to Zhongke Components, Zhongjinke Nanjing, and PSM-ZJK, as capital contribution and/or shareholder loans as the case may be. Any transfer of funds by us to our PRC Entities, either as a shareholder loan or as an increase in registered capital, are subject to approval by or registration or filing with relevant governmental authorities in China. Any foreign loans procured by our PRC Entities is required to be registered with the State Administration of Foreign Exchange in China (the “SAFE”) in its local branches and satisfy relevant requirements, and our PRC Entities may not procure loans which exceed the difference between its respective total project investment amount and registered capital or two times (which may be varied year by year due to the change of PRC’s national macro-control policy) of the net worth of our PRC Entities. According to the relevant PRC regulations on foreign-invested enterprises in China, capital contributions to our PRC Entities are subject to the registration with State Administration for Market Regulation (“SAMR”) in its local branches, report submission to the Ministry of Commerce of China (the “MOFCOM”) in its local branches and registration with a local bank authorized by SAFE. Please see “Item 3. Key Information – D. Risk Factors – Risks Related to Doing Business in China — We must remit the offering proceeds to our PRC Operating Entities before they may be used to benefit our business in China, the process of which may be time-consuming, and we cannot assure that we can finish all necessary governmental registration processes in a timely manner” in the 2024 Annual Report. We intend to keep any future earnings to re-invest in and finance the expansion of our business, and we do not anticipate that any cash dividends will be paid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PSM-ZJK has made dividends or distributions of US$2,319,218 to Zhongjinke Shenzhen in 2024 and US$1,863,561 in 2023. We intend to keep any future earnings to re-invest in and finance the expansion of the business of our PRC Subsidiaries, and we do not anticipate that any cash dividends will be paid in the foreseeable future to the U.S. investors immediately following the consummation of this offering. Under Cayman Islands law, a Cayman Islands company may pay a dividend on its shares out of profits of the company or its share premium account or a combination of both, provided that in no circumstances may a dividend be paid if, following the date on which the dividend is proposed to be paid, the company would be unable to pay its debts as they fall due in the ordinary course of business.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pay dividends to our shareholders, as a holding company, unless we receive proceeds from future offerings, we will be dependent on receipt of funds from our BVI subsidiary, which will be dependent on receipt of dividends from our Hong Kong subsidiary, which will be dependent on receipt of payments from Zhongjinke WFOE and Galaxy Exploration, which will be dependent on receipt of payments from the PRC Operating Entities. PRC regulations currently permit the payment of dividends only out of accumulated profits, as determined in accordance with accounting standards and PRC regulations. To the extent any funds or assets in the business is in mainland China or Hong Kong or a mainland China or Hong Kong entity, the funds or assets may not be available to fund operations or for other use outside of mainland China or Hong Kong, except as otherwise approved by competent PRC government authorities to be used to make overseas investment or lend to overseas affiliates, due to the compliance requirement by PRC governments which may limit our ability to transfer funds abroad, pay dividends or make distribution. The PRC government imposes control on the conversion of RMB into foreign currencies and the remittance of currencies out of mainland China. Furthermore, if our PRC Entities incur debt on its own in the future, the instruments governing the debt may restrict its ability to pay dividends or make other payments and our cash and financing requirement may not be fully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Enterprise Income Tax Law and its implementation rules provide that a withholding tax at a rate of 10% will be applicable to dividends payable by companies in mainland China to enterprises outside of mainland China unless reduced under treaties or arrangements between the PRC central government and the governments of other countries or regions where the enterprises outside of mainland China are tax resident. Based on our understanding of the Hong Kong laws and regulations, as of the date of this prospectus, there is no restriction imposed by the Hong Kong government on the transfer of capital within, into and out of Hong Kong (including funds from Hong Kong to mainland China), except transfer of funds involving money laundering and criminal activities. Based on our understanding of the BVI laws and regulations, as of the date of this prospectus, there is no restriction on the transfer of capital within, into and out of BVI.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 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w:t>
      </w:r>
      <w:r>
        <w:rPr>
          <w:rFonts w:ascii="Times New Roman;Times;Serif" w:hAnsi="Times New Roman;Times;Serif"/>
          <w:b w:val="false"/>
          <w:i/>
          <w:caps w:val="false"/>
          <w:smallCaps w:val="false"/>
          <w:sz w:val="20"/>
        </w:rPr>
        <w:t>Item 3. Key Information — 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Ordinary Shares may be subject to delisting</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conduct substantially all of our operations in China through our Operating Entities, and all of the assets of our Operating Entities are located in China. In addition, all of our other directors and officers are nationals or residents of countries other than the United States. A substantial portion of the assets of these persons is located outside the United States. As a result, it may be difficult for you to effect service of process within the United States upon these persons. It may also be difficult for you to enforce the U.S. courts judgments obtained in U.S. courts including judgments based on the civil liability provisions of the U.S. federal securities laws against us and our officers and directors. See “</w:t>
      </w:r>
      <w:r>
        <w:rPr>
          <w:rFonts w:ascii="Times New Roman;Times;Serif" w:hAnsi="Times New Roman;Times;Serif"/>
          <w:b w:val="false"/>
          <w:i/>
          <w:caps w:val="false"/>
          <w:smallCaps w:val="false"/>
          <w:sz w:val="20"/>
        </w:rPr>
        <w:t>Item 3. Key Information — D. Risk Factors — Risks Related to Our Business and Industry — 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Rules because our chairman and chief executive officer, Mr. Ning Ding, beneficially owns more than 50% of our total voting power.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See “</w:t>
      </w:r>
      <w:r>
        <w:rPr>
          <w:rFonts w:ascii="Times New Roman;Times;Serif" w:hAnsi="Times New Roman;Times;Serif"/>
          <w:b w:val="false"/>
          <w:i/>
          <w:caps w:val="false"/>
          <w:smallCaps w:val="false"/>
          <w:sz w:val="20"/>
        </w:rPr>
        <w:t>Item 3. Key Information—D. Risk Factors—Risks Related to Our Ordinary Shares—As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w:t>
      </w:r>
      <w:r>
        <w:rPr>
          <w:rFonts w:ascii="Times New Roman;Times;Serif" w:hAnsi="Times New Roman;Times;Serif"/>
          <w:b w:val="false"/>
          <w:i/>
          <w:caps w:val="false"/>
          <w:smallCaps w:val="false"/>
          <w:sz w:val="20"/>
        </w:rPr>
        <w:t>Item 3. Key Information—D. Risk Factors—Risks Related to Our Ordinary Shares— We are an emerging growth company within the meaning of the Securities Act and may take advantage of certain reduced reporting requirements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Ordinary Shares—We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March 23, 2026.</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495"/>
        <w:gridCol w:w="60"/>
        <w:gridCol w:w="455"/>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495" w:type="dxa"/>
            <w:tcBorders/>
            <w:shd w:fill="CCEEFF" w:val="clear"/>
            <w:vAlign w:val="center"/>
          </w:tcPr>
          <w:p>
            <w:pPr>
              <w:pStyle w:val="TableContents"/>
              <w:bidi w:val="0"/>
              <w:spacing w:before="0" w:after="283"/>
              <w:jc w:val="left"/>
              <w:rPr/>
            </w:pPr>
            <w:hyperlink w:anchor="a_016">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495" w:type="dxa"/>
            <w:tcBorders/>
            <w:shd w:fill="FFFFFF" w:val="clear"/>
            <w:vAlign w:val="center"/>
          </w:tcPr>
          <w:p>
            <w:pPr>
              <w:pStyle w:val="TableContents"/>
              <w:bidi w:val="0"/>
              <w:spacing w:before="0" w:after="283"/>
              <w:jc w:val="left"/>
              <w:rPr/>
            </w:pPr>
            <w:hyperlink w:anchor="a_017">
              <w:r>
                <w:rPr>
                  <w:rStyle w:val="InternetLink"/>
                </w:rPr>
                <w:t>Commonly Used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5495" w:type="dxa"/>
            <w:tcBorders/>
            <w:shd w:fill="CCEEFF" w:val="clear"/>
            <w:vAlign w:val="center"/>
          </w:tcPr>
          <w:p>
            <w:pPr>
              <w:pStyle w:val="TableContents"/>
              <w:bidi w:val="0"/>
              <w:spacing w:before="0" w:after="283"/>
              <w:jc w:val="left"/>
              <w:rPr/>
            </w:pPr>
            <w:hyperlink w:anchor="a_018">
              <w:r>
                <w:rPr>
                  <w:rStyle w:val="InternetLink"/>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5495" w:type="dxa"/>
            <w:tcBorders/>
            <w:shd w:fill="FFFFFF" w:val="clear"/>
            <w:vAlign w:val="center"/>
          </w:tcPr>
          <w:p>
            <w:pPr>
              <w:pStyle w:val="TableContents"/>
              <w:bidi w:val="0"/>
              <w:spacing w:before="0" w:after="283"/>
              <w:jc w:val="left"/>
              <w:rPr/>
            </w:pPr>
            <w:hyperlink w:anchor="a_019">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495" w:type="dxa"/>
            <w:tcBorders/>
            <w:shd w:fill="CCEEFF" w:val="clear"/>
            <w:vAlign w:val="center"/>
          </w:tcPr>
          <w:p>
            <w:pPr>
              <w:pStyle w:val="TableContents"/>
              <w:bidi w:val="0"/>
              <w:spacing w:before="0" w:after="283"/>
              <w:jc w:val="left"/>
              <w:rPr/>
            </w:pPr>
            <w:hyperlink w:anchor="a_020">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hyperlink w:anchor="a_021">
              <w:r>
                <w:rPr>
                  <w:rStyle w:val="InternetLink"/>
                </w:rPr>
                <w:t>Offer Statistics and Expected Timetable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CCEEFF" w:val="clear"/>
            <w:vAlign w:val="center"/>
          </w:tcPr>
          <w:p>
            <w:pPr>
              <w:pStyle w:val="TableContents"/>
              <w:bidi w:val="0"/>
              <w:spacing w:before="0" w:after="283"/>
              <w:jc w:val="left"/>
              <w:rPr/>
            </w:pPr>
            <w:hyperlink w:anchor="a_022">
              <w:r>
                <w:rPr>
                  <w:rStyle w:val="InternetLink"/>
                </w:rPr>
                <w:t>Capitalization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FFFFFF" w:val="clear"/>
            <w:vAlign w:val="center"/>
          </w:tcPr>
          <w:p>
            <w:pPr>
              <w:pStyle w:val="TableContents"/>
              <w:bidi w:val="0"/>
              <w:spacing w:before="0" w:after="283"/>
              <w:jc w:val="left"/>
              <w:rPr/>
            </w:pPr>
            <w:hyperlink w:anchor="a_023">
              <w:r>
                <w:rPr>
                  <w:rStyle w:val="InternetLink"/>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CCEEFF" w:val="clear"/>
            <w:vAlign w:val="center"/>
          </w:tcPr>
          <w:p>
            <w:pPr>
              <w:pStyle w:val="TableContents"/>
              <w:bidi w:val="0"/>
              <w:spacing w:before="0" w:after="283"/>
              <w:jc w:val="left"/>
              <w:rPr/>
            </w:pPr>
            <w:hyperlink w:anchor="a_024">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FFFFFF" w:val="clear"/>
            <w:vAlign w:val="center"/>
          </w:tcPr>
          <w:p>
            <w:pPr>
              <w:pStyle w:val="TableContents"/>
              <w:bidi w:val="0"/>
              <w:spacing w:before="0" w:after="283"/>
              <w:jc w:val="left"/>
              <w:rPr/>
            </w:pPr>
            <w:hyperlink w:anchor="a_025">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495" w:type="dxa"/>
            <w:tcBorders/>
            <w:shd w:fill="CCEEFF" w:val="clear"/>
            <w:vAlign w:val="center"/>
          </w:tcPr>
          <w:p>
            <w:pPr>
              <w:pStyle w:val="TableContents"/>
              <w:bidi w:val="0"/>
              <w:spacing w:before="0" w:after="283"/>
              <w:jc w:val="left"/>
              <w:rPr/>
            </w:pPr>
            <w:hyperlink w:anchor="a_026">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95" w:type="dxa"/>
            <w:tcBorders/>
            <w:shd w:fill="FFFFFF" w:val="clear"/>
            <w:vAlign w:val="center"/>
          </w:tcPr>
          <w:p>
            <w:pPr>
              <w:pStyle w:val="TableContents"/>
              <w:bidi w:val="0"/>
              <w:spacing w:before="0" w:after="283"/>
              <w:jc w:val="left"/>
              <w:rPr/>
            </w:pPr>
            <w:hyperlink w:anchor="a_027">
              <w:r>
                <w:rPr>
                  <w:rStyle w:val="InternetLink"/>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5495" w:type="dxa"/>
            <w:tcBorders/>
            <w:shd w:fill="CCEEFF" w:val="clear"/>
            <w:vAlign w:val="center"/>
          </w:tcPr>
          <w:p>
            <w:pPr>
              <w:pStyle w:val="TableContents"/>
              <w:bidi w:val="0"/>
              <w:spacing w:before="0" w:after="283"/>
              <w:jc w:val="left"/>
              <w:rPr/>
            </w:pPr>
            <w:hyperlink w:anchor="a_028">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5495" w:type="dxa"/>
            <w:tcBorders/>
            <w:shd w:fill="FFFFFF" w:val="clear"/>
            <w:vAlign w:val="center"/>
          </w:tcPr>
          <w:p>
            <w:pPr>
              <w:pStyle w:val="TableContents"/>
              <w:bidi w:val="0"/>
              <w:spacing w:before="0" w:after="283"/>
              <w:jc w:val="left"/>
              <w:rPr/>
            </w:pPr>
            <w:hyperlink w:anchor="a_029">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5495" w:type="dxa"/>
            <w:tcBorders/>
            <w:shd w:fill="CCEEFF" w:val="clear"/>
            <w:vAlign w:val="center"/>
          </w:tcPr>
          <w:p>
            <w:pPr>
              <w:pStyle w:val="TableContents"/>
              <w:bidi w:val="0"/>
              <w:spacing w:before="0" w:after="283"/>
              <w:jc w:val="left"/>
              <w:rPr/>
            </w:pPr>
            <w:hyperlink w:anchor="a_030">
              <w:r>
                <w:rPr>
                  <w:rStyle w:val="InternetLink"/>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5495" w:type="dxa"/>
            <w:tcBorders/>
            <w:shd w:fill="FFFFFF" w:val="clear"/>
            <w:vAlign w:val="center"/>
          </w:tcPr>
          <w:p>
            <w:pPr>
              <w:pStyle w:val="TableContents"/>
              <w:bidi w:val="0"/>
              <w:spacing w:before="0" w:after="283"/>
              <w:jc w:val="left"/>
              <w:rPr/>
            </w:pPr>
            <w:hyperlink w:anchor="a_031">
              <w:r>
                <w:rPr>
                  <w:rStyle w:val="InternetLink"/>
                </w:rPr>
                <w:t>Selling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CCEEFF" w:val="clear"/>
            <w:vAlign w:val="center"/>
          </w:tcPr>
          <w:p>
            <w:pPr>
              <w:pStyle w:val="TableContents"/>
              <w:bidi w:val="0"/>
              <w:spacing w:before="0" w:after="283"/>
              <w:jc w:val="left"/>
              <w:rPr/>
            </w:pPr>
            <w:hyperlink w:anchor="a_032">
              <w:r>
                <w:rPr>
                  <w:rStyle w:val="InternetLink"/>
                </w:rPr>
                <w:t>Expenses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hyperlink w:anchor="a_033">
              <w:r>
                <w:rPr>
                  <w:rStyle w:val="InternetLink"/>
                </w:rPr>
                <w:t>Material Contracts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CCEEFF" w:val="clear"/>
            <w:vAlign w:val="center"/>
          </w:tcPr>
          <w:p>
            <w:pPr>
              <w:pStyle w:val="TableContents"/>
              <w:bidi w:val="0"/>
              <w:spacing w:before="0" w:after="283"/>
              <w:jc w:val="left"/>
              <w:rPr/>
            </w:pPr>
            <w:hyperlink w:anchor="a_034">
              <w:r>
                <w:rPr>
                  <w:rStyle w:val="InternetLink"/>
                </w:rPr>
                <w:t>Material Changes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hyperlink w:anchor="a_035">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CCEEFF" w:val="clear"/>
            <w:vAlign w:val="center"/>
          </w:tcPr>
          <w:p>
            <w:pPr>
              <w:pStyle w:val="TableContents"/>
              <w:bidi w:val="0"/>
              <w:spacing w:before="0" w:after="283"/>
              <w:jc w:val="left"/>
              <w:rPr/>
            </w:pPr>
            <w:hyperlink w:anchor="a_036">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hyperlink w:anchor="a_037">
              <w:r>
                <w:rPr>
                  <w:rStyle w:val="InternetLink"/>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5495" w:type="dxa"/>
            <w:tcBorders/>
            <w:shd w:fill="CCEEFF" w:val="clear"/>
            <w:vAlign w:val="center"/>
          </w:tcPr>
          <w:p>
            <w:pPr>
              <w:pStyle w:val="TableContents"/>
              <w:bidi w:val="0"/>
              <w:spacing w:before="0" w:after="283"/>
              <w:jc w:val="left"/>
              <w:rPr/>
            </w:pPr>
            <w:hyperlink w:anchor="a_038">
              <w:r>
                <w:rPr>
                  <w:rStyle w:val="InternetLink"/>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95" w:type="dxa"/>
            <w:tcBorders/>
            <w:shd w:fill="FFFFFF" w:val="clear"/>
            <w:vAlign w:val="center"/>
          </w:tcPr>
          <w:p>
            <w:pPr>
              <w:pStyle w:val="TableContents"/>
              <w:bidi w:val="0"/>
              <w:spacing w:before="0" w:after="283"/>
              <w:jc w:val="left"/>
              <w:rPr/>
            </w:pPr>
            <w:hyperlink w:anchor="a_039">
              <w:r>
                <w:rPr>
                  <w:rStyle w:val="InternetLink"/>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i</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ABOUT THIS PROSPECTUS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utilizing a “shelf” registration process. Under this shelf registration process, we may, from time to time, sell the securities described in this prospectus in one or more offerings, up to a total offering amount of $300,000,000.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the information included in the registration statement. We have omitted parts of the registration statement in accordance with the rules and regulations of the SEC. Statements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 matters. You should read both this prospectus and any prospectus supplement or other offering materials together with additional information described under the headings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prospectus is accurate as of the date on the front cover. The information incorporated by reference into this prospectus is accurate as of the date of the document from which the information is incorporated. You should not assume that the information contained in this prospectus is accurate as of any other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We have not authorized anyone to provide you with additional or different information. This document may only be used where it is legal to sell these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ii</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COMMONLY USED DEFINED TERMS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240" w:type="dxa"/>
            <w:tcBorders/>
            <w:vAlign w:val="center"/>
          </w:tcPr>
          <w:p>
            <w:pPr>
              <w:pStyle w:val="TableContents"/>
              <w:bidi w:val="0"/>
              <w:spacing w:before="0" w:after="283"/>
              <w:jc w:val="both"/>
              <w:rPr/>
            </w:pPr>
            <w:r>
              <w:rPr/>
              <w:t>“</w:t>
            </w:r>
            <w:r>
              <w:rPr/>
              <w:t xml:space="preserve">AHFCAA” refers to the Accelerating Holding Foreign Companies Accountable Act;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CAC” refers to the Cyberspace Administration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China” or the “PRC” refers to the People’s Republic of China; “mainland China” refers to mainland of the People’s Republic of China, excluding the Hong Kong Special Administrative Region and the Macao Special Administrative Region;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Class A Ordinary Shares” refers to the Class A ordinary shares of ZJK Industrial Co., Ltd., par value $0.000016666667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Class B Ordinary Shares” refers to the Class B ordinary shares of ZJK Industrial Co., Ltd., par value $0.000016666667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CSRC” refers to the China Securities Regulatory Commission;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Depending on the context, “we,” “us,” “our company,” “our” and “Zhongjinke” refers to ZJK Industrial Co., Ltd., a Cayman Islands exempted company incorporated with limited liability, and its subsidiaries, including ZJK Enterprises Group (BVI) Company Limited, ZJK Industrial Group HongKong Limited, Zhongke Chuangwei (Shenzhen) International Holdings Limited, Galaxy Exploration Investment Holding Limited, Shenzhen Zhongjinke Hardware Products Co., Ltd, Zhongke Precision Components (Guangdong) Co., Ltd., Nanjing Zhongjinke Hardware Products Co., Ltd., and PSM-ZJK Fasteners (Shenzhen) Co., Ltd., unless the context otherwise indicates;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Galaxy Exploration” refers to Galaxy Exploration Investment Holding Limited, a company incorporated in the British Virgin Islands and wholly-owned by Zhongjinke HK; </w:t>
            </w:r>
          </w:p>
        </w:tc>
      </w:tr>
    </w:tbl>
    <w:p>
      <w:pPr>
        <w:pStyle w:val="TextBody"/>
        <w:bidi w:val="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965" w:type="dxa"/>
            <w:tcBorders/>
            <w:vAlign w:val="center"/>
          </w:tcPr>
          <w:p>
            <w:pPr>
              <w:pStyle w:val="TableContents"/>
              <w:bidi w:val="0"/>
              <w:spacing w:before="0" w:after="283"/>
              <w:jc w:val="both"/>
              <w:rPr/>
            </w:pPr>
            <w:r>
              <w:rPr/>
              <w:t>“</w:t>
            </w:r>
            <w:r>
              <w:rPr/>
              <w:t>HFCA Act” refers to the Holding Foreign Companies Accountable Act;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M&amp;A Rules” refers to the Regulations on Mergers and Acquisitions of Domestic Enterprises by Foreign Investors of China;</w:t>
            </w:r>
          </w:p>
        </w:tc>
      </w:tr>
    </w:tbl>
    <w:p>
      <w:pPr>
        <w:pStyle w:val="TextBody"/>
        <w:bidi w:val="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45" w:type="dxa"/>
            <w:tcBorders/>
            <w:vAlign w:val="center"/>
          </w:tcPr>
          <w:p>
            <w:pPr>
              <w:pStyle w:val="TableContents"/>
              <w:bidi w:val="0"/>
              <w:spacing w:before="0" w:after="283"/>
              <w:jc w:val="both"/>
              <w:rPr/>
            </w:pPr>
            <w:r>
              <w:rPr/>
              <w:t>“</w:t>
            </w:r>
            <w:r>
              <w:rPr/>
              <w:t>MOFCOM” refers to the Ministry of Commerce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Negative List” refers to the Special Administrative Measures for the Access of Foreign Investment (Negative List);</w:t>
            </w:r>
          </w:p>
        </w:tc>
      </w:tr>
    </w:tbl>
    <w:p>
      <w:pPr>
        <w:pStyle w:val="TextBody"/>
        <w:bidi w:val="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pPr>
            <w:r>
              <w:rPr/>
              <w:t>“</w:t>
            </w:r>
            <w:r>
              <w:rPr/>
              <w:t>NDRC” refers to the National Development and Reform Commission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NPC” refers to the National People’s Congress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Ordinary Shares” refers to our Class A Ordinary Shares and Class B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Precision HK” refers to ZJK Precision Parts HK Limited, a company incorporated in Hong Kong and wholly-owned by Zhongjinke Shenzhen;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Precision Vietnam” refers to ZJK Vietnam Precision Components Company Limited, a company incorporated in Vietnam and wholly-owned by Precision HK;</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PSM-ZJK” refers to PSM-ZJK Fasteners (Shenzhen) Co., Ltd.;</w:t>
            </w:r>
          </w:p>
        </w:tc>
      </w:tr>
    </w:tbl>
    <w:p>
      <w:pPr>
        <w:pStyle w:val="TextBody"/>
        <w:bidi w:val="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pPr>
            <w:r>
              <w:rPr/>
              <w:t>“</w:t>
            </w:r>
            <w:r>
              <w:rPr/>
              <w:t>RMB,” “Renminbi” or “yuan” refers to the legal currency of China;</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iii</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50" w:type="dxa"/>
            <w:tcBorders/>
            <w:vAlign w:val="center"/>
          </w:tcPr>
          <w:p>
            <w:pPr>
              <w:pStyle w:val="TableContents"/>
              <w:bidi w:val="0"/>
              <w:spacing w:before="0" w:after="283"/>
              <w:jc w:val="both"/>
              <w:rPr/>
            </w:pPr>
            <w:r>
              <w:rPr/>
              <w:t>“</w:t>
            </w:r>
            <w:r>
              <w:rPr/>
              <w:t>SAFE” refers to State Administration of Foreign Exchange in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SAFE Circular 19” refers to the Notice of the State Administration of Foreign Exchange on Reforming the Administration of Foreign Exchange Settlement of Capital of Foreign-invested Enterprises;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SAFE Circular 37” refers to the Circular on Relevant Issues Concerning Foreign Exchange Control on Domestic Residents’ Offshore Investment and Financing and Roundtrip Investment Through Special Purpose Vehicles;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SAIC” refers to State Administration for Industry and Commerce in China and currently known as State Administration for Market Regulation; </w:t>
            </w:r>
          </w:p>
        </w:tc>
      </w:tr>
    </w:tbl>
    <w:p>
      <w:pPr>
        <w:pStyle w:val="TextBody"/>
        <w:bidi w:val="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pPr>
            <w:r>
              <w:rPr/>
              <w:t>“</w:t>
            </w:r>
            <w:r>
              <w:rPr/>
              <w:t>SAT” refers to PRC State Taxation Administration;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SAMR” refers to the former State of Administration of Industry and Commerce of China, which has been merged into the State Administration for Market Regulation;</w:t>
            </w:r>
          </w:p>
        </w:tc>
      </w:tr>
    </w:tbl>
    <w:p>
      <w:pPr>
        <w:pStyle w:val="TextBody"/>
        <w:bidi w:val="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20" w:type="dxa"/>
            <w:tcBorders/>
            <w:vAlign w:val="center"/>
          </w:tcPr>
          <w:p>
            <w:pPr>
              <w:pStyle w:val="TableContents"/>
              <w:bidi w:val="0"/>
              <w:spacing w:before="0" w:after="283"/>
              <w:jc w:val="both"/>
              <w:rPr/>
            </w:pPr>
            <w:r>
              <w:rPr/>
              <w:t>“</w:t>
            </w:r>
            <w:r>
              <w:rPr/>
              <w:t>SCNPC” refers to the Standing Committee of the National People’s Congress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shares”, “Shares” or “Ordinary Shares” refers to Class A Ordinary Shares and Class B Ordinary Shares.</w:t>
            </w:r>
          </w:p>
        </w:tc>
      </w:tr>
    </w:tbl>
    <w:p>
      <w:pPr>
        <w:pStyle w:val="TextBody"/>
        <w:bidi w:val="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45" w:type="dxa"/>
            <w:tcBorders/>
            <w:vAlign w:val="center"/>
          </w:tcPr>
          <w:p>
            <w:pPr>
              <w:pStyle w:val="TableContents"/>
              <w:bidi w:val="0"/>
              <w:spacing w:before="0" w:after="283"/>
              <w:jc w:val="both"/>
              <w:rPr/>
            </w:pPr>
            <w:r>
              <w:rPr/>
              <w:t>“</w:t>
            </w:r>
            <w:r>
              <w:rPr/>
              <w:t>U.S. dollars,” “dollars,” “USD” or “$” refers to the legal currency of the United States;</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t xml:space="preserve">U.S. GAAP” refers to generally accepted accounting principles in the United States;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BVI” refers to ZJK Enterprises Group (BVI) Company Limited, a company incorporated in the British Virgin Islands and wholly-owned by Zhongjinke;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Zhongke Components” refers to Zhongke Precision Components (Guangdong) Co., Ltd., a company incorporated in the PRC and wholly-owned by Zhongjinke Shenzhen;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HK” refers to ZJK Industrial Group HongKong Limited, a company incorporated in Hong Kong and wholly-owned by Zhongjinke BVI;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Nanjing” refers to Nanjing Zhongjinke Hardware Products Co., Ltd., a company incorporated in the PRC and 51% of the shares owned by Zhongjinke Shenzhen;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Zhongjinke WFOE” refers to Zhongke Chuangwei (Shenzhen) International Holdings Limited, a company incorporated in the PRC and wholly-owned by Zhongjinke HK;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Zhongjinke Shenzhen” refers to Shenzhen Zhongjinke Hardware Products Co., Ltd, a company incorporated in the PRC, and 99.225% of the shares owned by Zhongjinke WFOE and 0.775% of the shares owned by Galaxy Exploration.</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iv</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CAUTIONARY NOTE REGARDING FORWARD-LOOKING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of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v</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Prospectus Summary</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the “Company”) is a holding company incorporated in the Cayman Islands as an exempted company with limited liability on May 11, 2022. We have no material operations of our own, and conducts substantially all of our operations through Shenzhen Zhongjinke Hardware Products Co., Ltd., which we refer to as “Zhongjinke Shenzhen,” Zhongke Precision Components (Guangdong) Co., Ltd. and our other subsidiaries. We, through operating through the consolidated subsidiaries in the People’s Republic of China (the “PRC” or “China”), are a high-tech enterprise specialized in manufacturing and sale of precision fasteners, structural parts and other precision metal parts products applied in intelligent electronic equipment and new energy vehicles. With about twelve-year involvement in precision metal parts manufacturing industry, we have a professional team, a series of highly automated and precise manufacturing equipment, stable and strong customer group, and complete quality management systems. We mainly offer: (i) standard screws; (ii) precision screws and nuts; (iii) high-strength bolts and nuts; (iv) turning and Computer Numerical Control machining parts; (v) Surface Mounting Technology for miniature parts packaging; (vi) technology service for research and development from professional engineering team. Our headquarter is located in Shenzhen,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our initial public offering and listed our ordinary shares on the Nasdaq Capital Market under the symbol “ZJK.” We raised approximately US$6.91 million in gross proceeds from the issuance of new shares from the initial public offering (“IPO”) and partial exercise of over-allotment option prior to deducting underwriting discounts, commissions and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extraordinary general meeting held on March 6, 2026, the shareholders of the Company approved the introduction of two classes of ordinary shares, designated as Class A and Class B. The Company’s Class A Ordinary Shares began trading on the Nasdaq Capital Market at the open of business on March 17, 2026, continuing under the ticker symbol “ZJK.” As a result of share capital reorganization, the Company’s authorized share capital now consists of US$50,000 divided into 2,991,000,000 Class A Ordinary Shares and 9,000,000 Class B Ordinary Shares, each with a par value of US$0.000016666667. The rights attached to the new share classes are materially identical to those previous ordinary shares save that: (i) holders of Class B Ordinary Shares are entitled to thirty (30) votes per share on all matters decided by poll at any general meeting, and (ii) Class B Ordinary Shares are convertible into Class A Ordinary Shares at the option of the holder thereof on a one-for-one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No.8, Jingqiang Road, 138 Industrial Zone, Xiuxin Community, Kengzi Town, Pingshan New Area, Shenzhen, PRC. Our telephone number at this address is +86-0755-28341175. Our agent for service of process in the United States is Cogency Global Inc, located at 122 E 42nd St., 18th Floor, New York, NY 10168.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principal subsidiaries, consolidated affiliated entities and subsidiaries of consolidated affiliated entities as of the date of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943600" cy="3600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5943600" cy="36004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No.8, Jingqiang Road, 138 Industrial Zone, Xiuxin Community, Kengzi Town, Pingshan New Area, Shenzhen, PRC. Our telephone number at this address is +86-0755-28341175. Our agent for service of process in the United States is Cogency Global Inc, located at 122 E 42nd St., 18th Floor, New York, NY 10168.</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through our consolidated subsidiaries in the PRC, we are a high-tech enterprise specialized in manufacturing and sale of precision fasteners, structural parts and other precision metal parts products for new energy vehicles and intelligent electronic equipment, such as mobile phones, smart watches, drones, and 5G communication base stations.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the precision metal parts manufacturing industry started since the establishment of Shenzhen Zhongjinke Hardware Products Co., Ltd in 2011. Our manufacturing technology and experience have been growing steadily in the past 14 years, and we have a professional team consisting of 403 employees as of April 15, 2025. We produced approximately 4.40 billion and 5.7 billion precision metal parts for the fiscal years ended December 31, 2023 and 2024, respectively. We have obtained 57 patents from China National Intellectual Property Administration as of April 15, 2025. With a series of precise and highly-automated processing equipment and high-precision testing instruments, including automatic high-speed cold heading machine, high-speed rolling machine, metal turning lathe, computer numerical-control lathe, high-speed precise punching machine and optical screening machine, we have control over processing quality, accuracy and yield rate. We have adopted ISO 9001:2015 quality management system, ISO 14001:2015 environmental management system, IATF 16949:2016 automobile quality management system and ISO 45001:2018 occupational health management system accredited by the International Organization for Standardization.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technology, product quality and ability to develop new products, we became a supplier for some well-known enterprises and their original equipment manufacturers (“OEMs”) in industries of consumer electronics, new energy vehicles and other fields. To customize the products to the needs of the customers, we connect with our customers from the very beginning, including the research and development (“R&amp;D”) process, and cooperate with customers to design the overall product plans. In recent years, the Company has continuously paid efforts to expand our R&amp;D team and increase our R&amp;D expenses, to improve our technology used in the manufacturing process and product design.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direct sales model and the sales department is responsible for customer contact, product sales, after-sales services and customer maintenance. We have both China-based and overseas sales teams in North America, and we expanded our business in North America through entering into sales representative contracts with 7 sales representative teams who will sell and promote our products in North America. In addition, the Company has established a factory in Vietnam in April 2024. We use a direct sales model and the sales department is responsible for customer contact, product sales, after-sales services and customer maintenance. We have both China-based and overseas sales teams in North America, and we expanded our business in North America through entering into sales representative contracts with 7 sales representative teams who will sell and promote our products in North America. In addition, the Company has established a factory in Vietnam in 2023 and will expand sales channels in U.S. and plan to set up a factory in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under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business and industry include, but are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operate in a competitive industry. If we are unable to compete successfully, we may lose market share to our competitors.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Any disruption in the supply chain of raw materials and our products could adversely impact our ability to produce and deliver products. </w:t>
            </w:r>
          </w:p>
        </w:tc>
      </w:tr>
    </w:tbl>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may incur material losses and costs as a result of product liability, recall and warranty claims brought against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If we fail to protect our intellectual property rights, it could harm our business and competitive position.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Failure to manage our growth could strain our management, operational and other resources, which could materially and adversely affect our business and prospects.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are based in mainland China and the majority of our operations are conducted in China by our PRC Operating Entities, so we face risks and uncertainties related to doing business in China in general,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PRC laws and regulations governing our current business operations may be revised from time to time with respect to the PRC legal system, such revision or changes in laws and regulations in China could have a material adverse effect on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Changes in China’s economic, political or social conditions or government policies, which could occur quickly, could have a material adverse effect on our business and operations.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transfer of funds, dividends and other distributions between us and our entities is subject to restriction.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To the extent any funds or assets in the business is in mainland China or Hong Kong or a mainland China or Hong Kong entity, the funds or assets may not be available to fund operations or for other use outside of mainland China or Hong Kong.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must remit the offering proceeds to our PRC Operating Entities before they may be used to benefit our business in China, the process of which may be time-consuming, and we cannot assure that we can finish all necessary governmental registration processes in a timely manner.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PRC regulations relating to the establishment of offshore special purpose companies by PRC residents may subject our PRC resident beneficial owners or our PRC Operating Entities to liability or penalties, limit our ability to inject capital into our PRC Entities, limit our PRC Entities’ ability to increase their registered capital or distribute profits to us, or may otherwise adversely affect us.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Vietnam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Precision Vietnam is based in Vietnam, so we face risks and uncertainties related to doing business in Vietnam in general,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economy in Vietnam may be subject to periods of high inflation which could materially and adversely affect our business, financial operation and results of operations and growth prospects.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Changes in the economic, political and legal environment of Vietnam, and Vietnam’s less developed legal system, may adversely affect our business, financial condition and results of operations.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Class A Ordinary Shares, including, but not limited to, the following:</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Our dual class structure may be dilutive to the voting power of Class A Ordinary Shareholders.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Concentration of voting power allows certain shareholders to exert significant control and prevent actions favored by other shareholders.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The market price for the Class A Ordinary Shares may be volatile. The trading prices of the Class A Ordinary Shares are likely to be volatile and could fluctuate widely due to factors beyond our control.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xml:space="preserve">As a “controlled company” under the rules of the Nasdaq Capital Market, we may choose to exempt our company from certain corporate governance requirements that could have an adverse effect on our public shareholders.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initiated a series of regulatory actions and statements to regulate activities in the overseas securities listing in China, including cracking down on illegal activities in the securities market, enhancing supervision over China-based companies listed overseas using a variable interest entity structure. On February 17, 2023, the China Securities Regulatory Commission (“CSRC”) released the Trial Administrative Measures of Overseas Securities Offering and Listing by Domestic Companies, or the Overseas Listing Trial Measures, and five supporting guidelines, which have come into effect on March 31, 2023. The Overseas Listing Trial Measures will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Domestic companies may also be required to file with the CSRC within 3 working days after any of our future issuance of securities on Nasdaq Capital Market including follow-on offerings, issuance of convertible bonds, depositary receipts, or other securities with equity characteristics. On February 24, 2023, CSRC published the Provisions on Strengthening the Confidentiality and Archives Administration Related to the Overseas Securities Offering and Listing by Domestic Enterprises, or the Provisions on Confidentiality and Archives Administration, which came into effect on March 31, 2023. The Provisions on Confidentiality and Archives Administration requires that, in the process of overseas issuance and listing of securities by domestic entities, the domestic entities, and securities companies and securities service institutions that provide relevant securities service shall strictly implement the provisions of relevant laws and regulations and the requirements of these provisions, establish and improve rules on confidentiality and archives administration. For details, see “</w:t>
      </w:r>
      <w:r>
        <w:rPr>
          <w:rFonts w:ascii="Times New Roman;Times;Serif" w:hAnsi="Times New Roman;Times;Serif"/>
          <w:b w:val="false"/>
          <w:i/>
          <w:caps w:val="false"/>
          <w:smallCaps w:val="false"/>
          <w:sz w:val="20"/>
        </w:rPr>
        <w:t>Item 3. Key Information—D. Risk Factors — Risks Related to Doing Business in China — 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PRC regulatory requirements regarding cybersecurity are evolving, including adopting new measures to extend the scope of cybersecurity reviews. As confirmed by our PRC counsel, we will not be subject to cybersecurity review with the Cyberspace Administration of China, or the “CAC,” after the Measures for Cybersecurity Review (the “Cybersecurity Review Measures”) became effective on February 15, 2022,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For more detailed information, see “</w:t>
      </w:r>
      <w:r>
        <w:rPr>
          <w:rFonts w:ascii="Times New Roman;Times;Serif" w:hAnsi="Times New Roman;Times;Serif"/>
          <w:b w:val="false"/>
          <w:i/>
          <w:caps w:val="false"/>
          <w:smallCaps w:val="false"/>
          <w:sz w:val="20"/>
        </w:rPr>
        <w:t>Item 3. Key Information—D. Risk Factors — Risks Related to Doing Business in China — 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 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w:t>
      </w:r>
      <w:r>
        <w:rPr>
          <w:rFonts w:ascii="Times New Roman;Times;Serif" w:hAnsi="Times New Roman;Times;Serif"/>
          <w:b w:val="false"/>
          <w:i/>
          <w:caps w:val="false"/>
          <w:smallCaps w:val="false"/>
          <w:sz w:val="20"/>
        </w:rPr>
        <w:t>Item 3. Key Information—D.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Ordinary Shares may be subject to delisting</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RISK FACTORS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under the heading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in the 2024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securities could decline due to any of these risks, and you may lose all or part of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not a Chinese operating company but a Cayman Islands holding company. We have no material operations of our own and conduct substantially all of the operations through the operating entities in China. Investors are purchasing equity interests in the Cayman Islands holding company, and not in the PRC operating entities. Investors may never hold equity interests in the PRC operating entities. We hold 100% equity interests in the operating entities in China, and we do not use a VIE structure.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structure may be dilutive to the voting power of Class A Ordinary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at the extraordinary general meeting, to implement a dual class structure, our shareholders approved a special resolution to amend and restate the Company’s then-effective Memorandum and Articles of Association to reflect the revised authorized share structure of the Company and the terms of the Class A ordinary shares and Class B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voting and conversion rights. In respect of matters requiring a shareholder vote by way of poll, each holder of Class A Ordinary Shares will be entitled to one vote per one Class A Ordinary Share and each holder of Class B Ordinary Shares will be entitled to 30 votes per one Class B Ordinary Share. The Class A Ordinary Shares are not convertible into shares of any other class. The Class B Ordinary Shares are convertible into Class A Ordinary Shares at any time after issuance at the option of the holder on a one-to-one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 class structure of our ordinary shares has the effect of concentrating voting control with holders of Class B Ordinary Shares. Our Class B Ordinary Shares have stronger voting power than our Class A Ordinary Shares and certain existing shareholders have substantial influence over our Company and their interests may not be aligned with the interests of our other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voting power allows certain shareholders to exert significant control and prevent actions favored by other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Chief Executive Officer, Director, and Chairman of the Board of Directors, Ning Ding, beneficially owns 58.48% our issued and outstanding Class A Ordinary Shares and 66.67% of our issued and outstanding Class B Ordinary Shares; our Chief Financial Officer and Director, Kai Huang beneficially owns 14.14% our issued and outstanding Class A Ordinary Shares and 20.00% of our issued and outstanding Class B Ordinary Shares. As a result, Ning Ding and Kai Huang beneficially own approximately 65.27% and 19.00%, respectively, of the aggregate voting power of our issued and outstanding shares As a result, these shareholders will have significant influence over all matters that require approval by our shareholders, including the appointment and removal of directors and approval of certain significant corporate transactions. Corporate action might be taken even if other shareholders oppose them. This concentration of ownership might also have the effect of delaying or preventing a change of control of our Company that other shareholders may view as beneficial.</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7</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OFFER STATISTICS AND EXPECTED TIMETABLE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up to a total dollar amount of $300,000,000 in one or more offerings. The securities offered under this prospectus may be offered separately, together, or in separate series, and in amounts, at prices, and on terms to be determined at the time of sale. We will keep the registration statement of which this prospectus is a part effective until such time as all of the securities covered by this prospectus have been disposed of pursuant to such registration statement.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CAPITALIZATION AND INDEBTEDNESS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DILUTION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net tangible book value per share of our equity securities before and after the offering;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amount of the increase in such net tangible book value per share attributable to the cash payments made by purchasers in the offering;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amount of the immediate dilution from the public offering price which will be absorbed by such purchasers.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DESCRIPTION OF SHARE CAPITAL</w:t>
      </w:r>
    </w:p>
    <w:p>
      <w:pPr>
        <w:pStyle w:val="TextBody"/>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$50,000 divided into 2,991,000,000 Class A ordinary shares of par value $0.000016666667 each and 9,000,000 Class B ordinary shares of par value $0.000016666667 each.</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the amended and restated memorandum and articles of association that shareholders have been asked to approve as part of the Recapitalization (the “Memorandum and Articles”) and the Companies Act (Revised) of the Cayman Islands (the “Cayman Companies Act”), insofar as they relate to the material terms of our Ordinary Shares. The summaries do not purport to be complete and are qualified in their entirety by reference to the Memorandum and Articles, which are filed as an exhibit to this registration statement.</w:t>
      </w:r>
    </w:p>
    <w:p>
      <w:pPr>
        <w:pStyle w:val="TextBody"/>
        <w:shd w:fill="FFFFFF" w:val="clear"/>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Cayman Companies Act on May 11, 2022. Our affairs are governed by our Memorandum and Articles, the Cayman Companies Act and the common laws of Cayman Islands.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exempted company: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a company the objects of which are to be carried out mainly outside the Cayman Islands or pursuant to a licence to carry on business in the Cayman Islands;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prohibited from trading in the Cayman Islands with any person, firm or corporation except in furtherance of the business of the exempted company carried on outside the Cayman Islands, unless that exempted company holds a licence to carry on business in the Islands under any applicable law;</w:t>
            </w:r>
          </w:p>
        </w:tc>
      </w:tr>
    </w:tbl>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does not have to make its register of members open to inspection by shareholders of that company (unless it holds a licence to carry on business in the Cayman Islands);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may obtain an undertaking against the imposition of any future taxation;</w:t>
            </w:r>
          </w:p>
        </w:tc>
      </w:tr>
    </w:tbl>
    <w:p>
      <w:pPr>
        <w:pStyle w:val="TextBody"/>
        <w:bidi w:val="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may register as a limited duration company; and</w:t>
            </w:r>
          </w:p>
        </w:tc>
      </w:tr>
    </w:tbl>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ind w:left="720" w:right="0" w:hanging="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$50,000 divided into 2,991,000,000 Class A ordinary shares of par value $0.000016666667 each and 9,000,000 Class B ordinary shares of par value $0.000016666667 each. Holders of Class A Ordinary Shares and Class B Ordinary Shares have the same rights except for voting and conversion rights. In respect of matters requiring a shareholder vote by way of poll, each holder of Class A Ordinary Shares will be entitled to one vote per one Class A Ordinary Share and each holder of Class B Ordinary Shares will be entitled to 30 votes per one Class B Ordinary Share. The Class A Ordinary Shares are not convertible into shares of any other class. The Class B Ordinary Shares are convertible into Class A Ordinary Shares at any time after issuance at the option of the holder on a one-to-one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and Class B Ordinary Shares are issued in registered form, and are issued when registered in our register of members. Unless the board of directors determine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9</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 The directors may refuse to accept any application for shares, and may accept any application in whole or in part, for any reason or for no reason.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our articles of association: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(a)</w:t>
            </w:r>
          </w:p>
        </w:tc>
        <w:tc>
          <w:tcPr>
            <w:tcW w:w="9865" w:type="dxa"/>
            <w:tcBorders/>
            <w:vAlign w:val="center"/>
          </w:tcPr>
          <w:p>
            <w:pPr>
              <w:pStyle w:val="TableContents"/>
              <w:bidi w:val="0"/>
              <w:spacing w:before="0" w:after="283"/>
              <w:jc w:val="both"/>
              <w:rPr/>
            </w:pPr>
            <w:r>
              <w:rPr/>
              <w:t>the directors may declare dividends or distributions out of our funds which are lawfully available for that purpose;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both"/>
              <w:rPr/>
            </w:pPr>
            <w:r>
              <w:rPr/>
              <w:t>our shareholders may, by ordinary resolution, declare dividends but no such dividend shall exceed the amount recommended by the directors.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Ordinary Share shall (in respect of such Ordinary Share) have the right to receive notice of, attend at and vote as a shareholder at any general meeting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at any meeting of shareholders is by show of hands unless a poll is demanded. A poll may be demanded by the chairperson of such meeting, by at least two shareholders having the right to vote on the resolutions or any one shareholder, present in person or by proxy, who, individually or collectively, hold at least ten per cent of the voting rights of all those who have a right to vote on the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Ordinary Shares shall, on a poll, be entitled to one vote for each Class A Ordinary Share he or she holds and each holder of Class B Ordinary Shares shall, on a poll, be entitled to exercise 30 votes for each Class B Ordinary Share he or she holds on any and all matters. On a show of hands, every shareholder shall have one vote.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vote in person or by proxy.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are convertible, at the option of the holder thereof, into Class A Ordinary Shares on a one-to-one basis. Class A Ordinary Shares are not convertible.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special resolution passed by a majority of not less than two-thirds of the holders of shares of the class present in person or by proxy at a separate general meeting of the holders of shares of that class.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10</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we may, by ordinary resolution: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 our share capital by new shares of the amount fixed by that ordinary resolution and with the attached rights, priorities and privileges set out in that ordinary resolution;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consolidate and divide all or any of our share capital into shares of larger amount than our existing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convert all or any of our paid-up shares into stock, and reconvert that stock into paid up shares of any denomination;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we may, by special resolution, reduce our share capital in any way.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275"/>
        <w:gridCol w:w="92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290" w:type="dxa"/>
            <w:tcBorders/>
            <w:vAlign w:val="center"/>
          </w:tcPr>
          <w:p>
            <w:pPr>
              <w:pStyle w:val="TableContents"/>
              <w:bidi w:val="0"/>
              <w:spacing w:before="0" w:after="283"/>
              <w:jc w:val="both"/>
              <w:rPr/>
            </w:pPr>
            <w:r>
              <w:rPr/>
              <w:t>either alone or jointly with any other person, whether or not that other person is a shareholder; and</w:t>
            </w:r>
          </w:p>
        </w:tc>
      </w:tr>
    </w:tbl>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290"/>
        <w:gridCol w:w="48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4880" w:type="dxa"/>
            <w:tcBorders/>
            <w:vAlign w:val="center"/>
          </w:tcPr>
          <w:p>
            <w:pPr>
              <w:pStyle w:val="TableContents"/>
              <w:bidi w:val="0"/>
              <w:spacing w:before="0" w:after="283"/>
              <w:jc w:val="both"/>
              <w:rPr/>
            </w:pPr>
            <w:r>
              <w:rPr/>
              <w:t xml:space="preserve">whether or not those monies are presently payable.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amended and restated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our articles of association) and, within 14 days of the date on which the notice is deemed to be given under the amended and restated articles of association, such notice has not been complied 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Unclaimed Dividend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our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 or Surrender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or surrendered shall cease to be a shareholder in respect of the forfeited or surrendered shares, but shall, notwithstanding such forfeiture or surrender, remain liable to pay to us all monies which at the date of forfeiture or surrender were payable by him to us in respect of the shares, together with all expenses and interest from the date of forfeiture or surrender until payment at the rate of which interest was payable on those monies before forfeiture; or if no interest was so payable, at the rate of 10% per annum, but his liability shall cease if and when we receive payment in full of the unpaid amount.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a director or secretary of the Company and that the particular shares have been forfeited or surrendered on a particular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Premium Account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established a share premium account in accordance with the Cayman Companies Act, with the credit of such account from time to time equal to the amount or value of the premium paid on the issue of any share or capital contributed or such other amounts required by the Cayman Companies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and Purchase of Own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(c)</w:t>
            </w:r>
          </w:p>
        </w:tc>
        <w:tc>
          <w:tcPr>
            <w:tcW w:w="9888" w:type="dxa"/>
            <w:tcBorders/>
            <w:vAlign w:val="center"/>
          </w:tcPr>
          <w:p>
            <w:pPr>
              <w:pStyle w:val="TableContents"/>
              <w:bidi w:val="0"/>
              <w:spacing w:before="0" w:after="283"/>
              <w:jc w:val="both"/>
              <w:rPr/>
            </w:pPr>
            <w:r>
              <w:rPr/>
              <w:t>purchase all or any of our own shares of any class including any redeemable shares on the terms and in the manner which the directors determine at the time of such purchase.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12</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authorized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authorized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authorized but unissued Class A Ordinary Shares to such number of Shares as shall be sufficient for such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shareholder and the Company will procure that any and all necessary corporate actions are taken to effect such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in our Articles, and provided that such transfer complies with applicable rules of the SEC, Nasdaq and federal and state securities laws of the United States, a shareholder may transfer shares in the Company to another person by completing an instrument of transfer in a common form or in a form prescribed by Nasdaq or in any other form approved by the directors, executed:</w:t>
      </w:r>
    </w:p>
    <w:p>
      <w:pPr>
        <w:pStyle w:val="TextBody"/>
        <w:bidi w:val="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275"/>
        <w:gridCol w:w="67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755" w:type="dxa"/>
            <w:tcBorders/>
            <w:vAlign w:val="center"/>
          </w:tcPr>
          <w:p>
            <w:pPr>
              <w:pStyle w:val="TableContents"/>
              <w:bidi w:val="0"/>
              <w:spacing w:before="0" w:after="283"/>
              <w:jc w:val="both"/>
              <w:rPr/>
            </w:pPr>
            <w:r>
              <w:rPr/>
              <w:t>where the shares are fully paid, by or on behalf of that shareholder; and</w:t>
            </w:r>
          </w:p>
        </w:tc>
      </w:tr>
    </w:tbl>
    <w:p>
      <w:pPr>
        <w:pStyle w:val="TextBody"/>
        <w:bidi w:val="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75"/>
        <w:gridCol w:w="290"/>
        <w:gridCol w:w="87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735" w:type="dxa"/>
            <w:tcBorders/>
            <w:vAlign w:val="center"/>
          </w:tcPr>
          <w:p>
            <w:pPr>
              <w:pStyle w:val="TableContents"/>
              <w:bidi w:val="0"/>
              <w:spacing w:before="0" w:after="283"/>
              <w:jc w:val="both"/>
              <w:rPr/>
            </w:pPr>
            <w:r>
              <w:rPr/>
              <w:t>where the shares are nil or partly paid, by or on behalf of that shareholder and the transferee.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Class A Ordinary Share or Class B Ordinary Share until the name of the transferee is entered into the register of members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in their absolute discretion decline to register any transfer of shares at their discretion. If the shares in question were issued in conjunction with rights, options or warrants on terms that one cannot be transferred without the other, the directors shall refuse to register the transfer of any such share without evidence satisfactory to them of the like transfer of such option or warrant.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however, is unlikely to affect market transactions of the Class A Ordinary Shares purchased by investors in the public offering. Once the Class A Ordinary Shares have been listed, the legal title to such Class A Ordinary Shares and the registration details of those Class A Ordinary Shares in our register of members will remain with DTC/Cede &amp; Co. All market transactions with respect to those Class A Ordinary Shares will then be carried out without the need for any kind of registration by the directors, as the market transactions will all be conducted through the DTC systems.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suspend registration of the transfer of Ordinary Shares at such times and for such periods, not exceeding 45 days in any calendar year, as they determine.</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have no general rights under Cayman Islands law to inspect corporate records or to obtain copies of lists of shareholders of these companies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Pursuant to our articles of association, shareholders will not have any right to inspect any account or book or document of the Company except as conferred by Companies Act or as authorized by our directors or by ordinary resolution of our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seven clear days’ notice of any general meeting shall be given to shareholders entitled to attend and vote at such meeting. Among other things,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a majority of the outstanding shares carrying the right to vote at such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 If a quorum is not present within 15 minutes of the time appointed for the adjourned meeting, then the shareholders present in person or by proxy shall constitute a quorum.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seven clear days or more, notice of the adjourned meeting shall be given in accordance with our amended and restated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on the question of adjournment, shall be taken immediately, and on any other question shall be taken either immediately or at an adjourned meeting at such time and place as directed by the chairman, but not being more than thirty clear days after the poll was demanded. The demand for a poll shall not prevent the meeting from continuing to transact any business other than the question on which the poll was demanded.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our articles of association, we are required to have a minimum of one director and the maximum number of directors shall be unlimited.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Company by ordinary resolution, the directors shall be entitled to such remuneration as the directors may determine.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ordinary resolution and unless and until so fixed no share qualification shall be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appointed shall hold office until such time as they resign, are removed from office by ordinary resolution or otherwise ceases to be eligible to be a director of the Company or have their office terminated in accordance with our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275"/>
        <w:gridCol w:w="71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115" w:type="dxa"/>
            <w:tcBorders/>
            <w:vAlign w:val="center"/>
          </w:tcPr>
          <w:p>
            <w:pPr>
              <w:pStyle w:val="TableContents"/>
              <w:bidi w:val="0"/>
              <w:spacing w:before="0" w:after="283"/>
              <w:jc w:val="both"/>
              <w:rPr/>
            </w:pPr>
            <w:r>
              <w:rPr/>
              <w:t>he is prohibited by the law of the Cayman Islands from acting as a director;</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290"/>
        <w:gridCol w:w="85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510" w:type="dxa"/>
            <w:tcBorders/>
            <w:vAlign w:val="center"/>
          </w:tcPr>
          <w:p>
            <w:pPr>
              <w:pStyle w:val="TableContents"/>
              <w:bidi w:val="0"/>
              <w:spacing w:before="0" w:after="283"/>
              <w:jc w:val="both"/>
              <w:rPr/>
            </w:pPr>
            <w:r>
              <w:rPr/>
              <w:t>he is made bankrupt or makes an arrangement or composition with his creditors generally;</w:t>
            </w:r>
          </w:p>
        </w:tc>
      </w:tr>
    </w:tbl>
    <w:p>
      <w:pPr>
        <w:pStyle w:val="TextBody"/>
        <w:bidi w:val="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275"/>
        <w:gridCol w:w="34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3410" w:type="dxa"/>
            <w:tcBorders/>
            <w:vAlign w:val="center"/>
          </w:tcPr>
          <w:p>
            <w:pPr>
              <w:pStyle w:val="TableContents"/>
              <w:bidi w:val="0"/>
              <w:spacing w:before="0" w:after="283"/>
              <w:jc w:val="both"/>
              <w:rPr/>
            </w:pPr>
            <w:r>
              <w:rPr/>
              <w:t>he resigns his office by notice to us;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290"/>
        <w:gridCol w:w="66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695" w:type="dxa"/>
            <w:tcBorders/>
            <w:vAlign w:val="center"/>
          </w:tcPr>
          <w:p>
            <w:pPr>
              <w:pStyle w:val="TableContents"/>
              <w:bidi w:val="0"/>
              <w:spacing w:before="0" w:after="283"/>
              <w:jc w:val="both"/>
              <w:rPr/>
            </w:pPr>
            <w:r>
              <w:rPr/>
              <w:t>he only held office as a director for a fixed term and such term expires;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(e)</w:t>
            </w:r>
          </w:p>
        </w:tc>
        <w:tc>
          <w:tcPr>
            <w:tcW w:w="9879" w:type="dxa"/>
            <w:tcBorders/>
            <w:vAlign w:val="center"/>
          </w:tcPr>
          <w:p>
            <w:pPr>
              <w:pStyle w:val="TableContents"/>
              <w:bidi w:val="0"/>
              <w:spacing w:before="0" w:after="283"/>
              <w:jc w:val="both"/>
              <w:rPr/>
            </w:pPr>
            <w:r>
              <w:rPr/>
              <w:t>in the opinion of a registered medical practitioner by whom he is being treated he becomes physically or mentally incapable of acting as a director;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both"/>
              <w:rPr/>
            </w:pPr>
            <w:r>
              <w:rPr/>
              <w:t>he is given notice by the majority of the other directors (not being less than two in number) to vacate office (without prejudice to any claim for damages for breach of any agreement relating to the provision of the services of such director);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(g)</w:t>
            </w:r>
          </w:p>
        </w:tc>
        <w:tc>
          <w:tcPr>
            <w:tcW w:w="9846" w:type="dxa"/>
            <w:tcBorders/>
            <w:vAlign w:val="center"/>
          </w:tcPr>
          <w:p>
            <w:pPr>
              <w:pStyle w:val="TableContents"/>
              <w:bidi w:val="0"/>
              <w:spacing w:before="0" w:after="283"/>
              <w:jc w:val="both"/>
              <w:rPr/>
            </w:pPr>
            <w:r>
              <w:rPr/>
              <w:t>he is made subject to any law relating to mental health or incompetence, whether by court order or otherwise;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(h)</w:t>
            </w:r>
          </w:p>
        </w:tc>
        <w:tc>
          <w:tcPr>
            <w:tcW w:w="9850" w:type="dxa"/>
            <w:tcBorders/>
            <w:vAlign w:val="center"/>
          </w:tcPr>
          <w:p>
            <w:pPr>
              <w:pStyle w:val="TableContents"/>
              <w:bidi w:val="0"/>
              <w:spacing w:before="0" w:after="283"/>
              <w:jc w:val="both"/>
              <w:rPr/>
            </w:pPr>
            <w:r>
              <w:rPr/>
              <w:t>without the consent of the other directors, he is absent from meetings of directors for continuous period of six months.</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Powers and Duties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memorandum and articles of association, our business shall be managed by the directors, who may exercise all our powers. No prior act of the directors shall be invalidated by any subsequent alteration of our amended and restated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our agent with or without authority for that person to delegate all or any of that person’s powers.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an attorney or authorized signatory of the Company and for such period and subject to such conditions as they may think fit. The powers, authorities and discretions, however, must not exceed those vested in, or exercisable, by the directors under the articles. The board of directors may remove any person so appointed and may revoke or vary the delegation.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expressly permitted by our articles of association, a director may not have a direct or indirect interest or duty which conflicts or may possibly conflict with the interests of the Company. If, notwithstanding this general prohibition, a director discloses to their fellow directors the nature and extent of any material interest or duty, they may: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be a party to, or otherwise interested in, any transaction or arrangement with the Company or in which the Company is or may otherwise be interested;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has made disclosure in accordance with our articles of association, then they shall not, by reason only of their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vote at a meeting of directors on any resolution concerning a matter in which that director has an interest or duty, whether directly or indirectly, so long as that director discloses any material interest. The director shall be counted towards a quorum of those present at the meeting. If the director votes on the resolution, their vote shall be counted.</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Capitalization of Profits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(a)</w:t>
            </w:r>
          </w:p>
        </w:tc>
        <w:tc>
          <w:tcPr>
            <w:tcW w:w="9873" w:type="dxa"/>
            <w:tcBorders/>
            <w:vAlign w:val="center"/>
          </w:tcPr>
          <w:p>
            <w:pPr>
              <w:pStyle w:val="TableContents"/>
              <w:bidi w:val="0"/>
              <w:spacing w:before="0" w:after="283"/>
              <w:jc w:val="both"/>
              <w:rPr/>
            </w:pPr>
            <w:r>
              <w:rPr/>
              <w:t>any part of our profits not required for paying any preferential dividend (whether or not those profits are available for distribution); or</w:t>
            </w:r>
          </w:p>
        </w:tc>
      </w:tr>
    </w:tbl>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290"/>
        <w:gridCol w:w="92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283"/>
              <w:jc w:val="both"/>
              <w:rPr/>
            </w:pPr>
            <w:r>
              <w:rPr/>
              <w:t>any sum standing to the credit of our share premium account or capital redemption reserve, if 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our shareholders may, subject to the articles and any other sanction required by the Cayman Companies Act, pass a special resolution allowing the liquidator to do either or both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283"/>
              <w:jc w:val="both"/>
              <w:rPr/>
            </w:pPr>
            <w:r>
              <w:rPr/>
              <w:t>to vest the whole or any part of the assets in trustees for the benefit of shareholders and those liable to contribute to the winding 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 of Members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which contains the following:</w:t>
      </w:r>
    </w:p>
    <w:p>
      <w:pPr>
        <w:pStyle w:val="TextBody"/>
        <w:bidi w:val="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275"/>
        <w:gridCol w:w="55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5510" w:type="dxa"/>
            <w:tcBorders/>
            <w:vAlign w:val="center"/>
          </w:tcPr>
          <w:p>
            <w:pPr>
              <w:pStyle w:val="TableContents"/>
              <w:bidi w:val="0"/>
              <w:spacing w:before="0" w:after="283"/>
              <w:jc w:val="both"/>
              <w:rPr/>
            </w:pPr>
            <w:r>
              <w:rPr/>
              <w:t>the names and addresses of the members of the Company;</w:t>
            </w:r>
          </w:p>
        </w:tc>
      </w:tr>
    </w:tbl>
    <w:p>
      <w:pPr>
        <w:pStyle w:val="TextBody"/>
        <w:bidi w:val="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290"/>
        <w:gridCol w:w="51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5180" w:type="dxa"/>
            <w:tcBorders/>
            <w:vAlign w:val="center"/>
          </w:tcPr>
          <w:p>
            <w:pPr>
              <w:pStyle w:val="TableContents"/>
              <w:bidi w:val="0"/>
              <w:spacing w:before="0" w:after="283"/>
              <w:jc w:val="both"/>
              <w:rPr/>
            </w:pPr>
            <w:r>
              <w:rPr/>
              <w:t>a statement of the shares held by each member, which: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(i)</w:t>
            </w:r>
          </w:p>
        </w:tc>
        <w:tc>
          <w:tcPr>
            <w:tcW w:w="9810" w:type="dxa"/>
            <w:tcBorders/>
            <w:vAlign w:val="center"/>
          </w:tcPr>
          <w:p>
            <w:pPr>
              <w:pStyle w:val="TableContents"/>
              <w:bidi w:val="0"/>
              <w:spacing w:before="0" w:after="283"/>
              <w:jc w:val="both"/>
              <w:rPr/>
            </w:pPr>
            <w:r>
              <w:rPr/>
              <w:t>distinguishes each share by its number (so long as the share has a number);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(ii)</w:t>
            </w:r>
          </w:p>
        </w:tc>
        <w:tc>
          <w:tcPr>
            <w:tcW w:w="9810" w:type="dxa"/>
            <w:tcBorders/>
            <w:vAlign w:val="center"/>
          </w:tcPr>
          <w:p>
            <w:pPr>
              <w:pStyle w:val="TableContents"/>
              <w:bidi w:val="0"/>
              <w:spacing w:before="0" w:after="283"/>
              <w:jc w:val="both"/>
              <w:rPr/>
            </w:pPr>
            <w:r>
              <w:rPr/>
              <w:t>confirms the amount paid, or agreed to be considered as paid, on the shares of each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(iii)</w:t>
            </w:r>
          </w:p>
        </w:tc>
        <w:tc>
          <w:tcPr>
            <w:tcW w:w="9810" w:type="dxa"/>
            <w:tcBorders/>
            <w:vAlign w:val="center"/>
          </w:tcPr>
          <w:p>
            <w:pPr>
              <w:pStyle w:val="TableContents"/>
              <w:bidi w:val="0"/>
              <w:spacing w:before="0" w:after="283"/>
              <w:jc w:val="both"/>
              <w:rPr/>
            </w:pPr>
            <w:r>
              <w:rPr/>
              <w:t>confirms the number and category of shares held by each member; and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(iv)</w:t>
            </w:r>
          </w:p>
        </w:tc>
        <w:tc>
          <w:tcPr>
            <w:tcW w:w="9810" w:type="dxa"/>
            <w:tcBorders/>
            <w:vAlign w:val="center"/>
          </w:tcPr>
          <w:p>
            <w:pPr>
              <w:pStyle w:val="TableContents"/>
              <w:bidi w:val="0"/>
              <w:spacing w:before="0" w:after="283"/>
              <w:jc w:val="both"/>
              <w:rPr/>
            </w:pPr>
            <w:r>
              <w:rPr/>
              <w:t>confirms whether each relevant category of shares held by a member carries voting rights under the Articles, and if so, whether such voting rights are conditional;</w:t>
            </w:r>
          </w:p>
        </w:tc>
      </w:tr>
    </w:tbl>
    <w:p>
      <w:pPr>
        <w:pStyle w:val="TextBody"/>
        <w:bidi w:val="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275"/>
        <w:gridCol w:w="82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8270" w:type="dxa"/>
            <w:tcBorders/>
            <w:vAlign w:val="center"/>
          </w:tcPr>
          <w:p>
            <w:pPr>
              <w:pStyle w:val="TableContents"/>
              <w:bidi w:val="0"/>
              <w:spacing w:before="0" w:after="283"/>
              <w:jc w:val="both"/>
              <w:rPr/>
            </w:pPr>
            <w:r>
              <w:rPr/>
              <w:t>the date on which the name of any person was entered on the register as a member; and</w:t>
            </w:r>
          </w:p>
        </w:tc>
      </w:tr>
    </w:tbl>
    <w:p>
      <w:pPr>
        <w:pStyle w:val="TextBody"/>
        <w:bidi w:val="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90"/>
        <w:gridCol w:w="50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both"/>
              <w:rPr/>
            </w:pPr>
            <w:r>
              <w:rPr/>
              <w:t>the date on which any person ceased to be a member.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directed or authorized to be inserted therein by the Cayman Companies Act (that is, the register of members will raise a presumption of fact on the matters referred to above unless rebutted) and a shareholder registered in the register of members is deemed as a matter of the Cayman Islands law to have legal title to the shares as set against its name in the register of members.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17</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the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Cayman Companies Act. The Cayman Companies Act distinguishes 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a company the objects of which are to be carried out mainly outside the Cayman Islands or pursuant to a licence to carry on business in the Cayman Islands;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prohibited from trading in the Cayman Islands with any person, firm or corporation except in furtherance of the business of the exempted company carried on outside the Cayman Islands, unless that exempted company holds a licence to carry on business in the Islands under any applicable law;</w:t>
            </w:r>
          </w:p>
        </w:tc>
      </w:tr>
    </w:tbl>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does not have to make its register of members open to inspection by shareholders of that company (unless it holds a licence to carry on business in the Cayman Islands);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may obtain an undertaking against the imposition of any future taxation;</w:t>
            </w:r>
          </w:p>
        </w:tc>
      </w:tr>
    </w:tbl>
    <w:p>
      <w:pPr>
        <w:pStyle w:val="TextBody"/>
        <w:bidi w:val="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may register as a limited duration company; and</w:t>
            </w:r>
          </w:p>
        </w:tc>
      </w:tr>
    </w:tbl>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but does not follow recent United Kingdom statutory enactments, and accordingly there are significant differences between the Cayman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in the consolidated company. In order to effect such a merger or consolidation, among other things,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among other documents, a declaration as to the solvency of the consolidated or surviving company, a declaration of the assets and liabilities of each constituent company and (unless the surviving or consolidated company is to be a non-Cayman Islands company)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if a copy of the plan of merger is given to every member of each subsidiary company to be merged unless that member agrees otherwise. For this purpose, a subsidiary is a company of which at least 90% of the issued shares entitled to vote are owned by the parent company.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19</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Any such arrangement must be approved by (a) a majority in number of the creditors or each class of creditors, as the case may be, with whom the arrangement is to be made and who must, in addition, represent seventy-five percent in value of the creditors or each such class of creditors, as the case may be, that are present and voting either in person or by proxy at a meeting, or meetings, convened for that purpose and (b) seventy-five percent in value of the shareholders of each class of shareholders, as the case may be, with whom the arrangement is to be made that are present and voting either in person or by proxy at a meeting, or meetings, convened for that purpose, as applicable.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court’s directions and the statutory provisions as to the required majority vote have been met;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limits the circumstances in which a shareholder may bring a derivative action on behalf of the company or a personal action to claim loss which is reflective of loss suffered by the company) which permit a minority shareholder to commence a class action against, or derivative actions in the name of, a company to challenge the following:</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20</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company acts or proposes to act illegally or ultra vires and is therefore incapable of ratification by the shareholder;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irregularity in the passing of a resolution which requires a qualified majority;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act purporting to abridge or abolish the individual rights of a member;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or dishonesty. 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wilful default or fraud.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 In addition, we plan to enter into indemnification agreements with our directors and senior executive officers that will provide such persons with additional indemnification beyond that provided in our Memorandum and Articles.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amended and restated articles of association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amended and restated articles of association,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 Our amended and restated articles of association provide no other right to put any proposals before annual general meetings or extraordinary general meetings. As a Cayman Islands exempted company, we are not obligated by law to call shareholders’ annual general meetings.</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22</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Articles do not provide for cumulative voting. As a result, our shareholders are not afforded any less protections or rights on this issue than shareholders of a Delaware corporation.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any of our directors may be removed by ordinary resolution of our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our articles of association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has no comparable provisions. As a result, we cannot avail ourselves of the types of protections afforded by the Delaware business combination statute. However, although the Cayman Companies Act does not regulate transactions between a company and its significant shareholders, under Cayman Islands law, our directors owe fiduciary duties to our Company to act in the best interests of the company and exercise their powers for a proper purpose when considering and approving such transactions.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and our amended and restated articles of association, the company may be wound up by a special resolution of our shareholders,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our Memorandum and Articles may only be amended by special resolution of our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 to Issue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our board of directors is empowered to issue or allot shares or grant options and warrants with or without preferred, deferred, qualified or other special rights or restrictions.</w:t>
      </w:r>
    </w:p>
    <w:p>
      <w:pPr>
        <w:pStyle w:val="TextBody"/>
        <w:shd w:fill="FFFFFF" w:val="clear"/>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DESCRIPTION OF WARRANTS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warrant document when it is filed.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number of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may be exercised;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currency or currencies that investors may use to pay for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warrants will be issued in registered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information with respect to book-entry procedures,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minimum or maximum amount of warrants that may be exercised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designation and terms of the underlying Class A Ordinary Shares with which the warrants are issued and the number of warrants issued with each underlying Class A Ordinary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date on and after which the warrants and the related underlying Class A Ordinary Shares will be separately transferable;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a discussion of material federal income tax considerations;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redemption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warrant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exercise of the warrants;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Class A Ordinary Shares will not have any rights of holders of Class A Ordinary Shares and will not be entitled to dividend payments, if any, or voting rights of the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Class A Ordinary Shares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DESCRIPTION OF RIGHTS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Class A Ordinary Shares.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xml:space="preserve">● </w:t>
            </w:r>
          </w:p>
        </w:tc>
        <w:tc>
          <w:tcPr>
            <w:tcW w:w="9914" w:type="dxa"/>
            <w:tcBorders/>
            <w:vAlign w:val="center"/>
          </w:tcPr>
          <w:p>
            <w:pPr>
              <w:pStyle w:val="TableContents"/>
              <w:bidi w:val="0"/>
              <w:spacing w:before="0" w:after="283"/>
              <w:jc w:val="both"/>
              <w:rPr/>
            </w:pPr>
            <w:r>
              <w:rPr/>
              <w:t xml:space="preserve">the date of determining the security holders entitled to the rights distribution; </w:t>
            </w:r>
          </w:p>
        </w:tc>
      </w:tr>
      <w:tr>
        <w:trPr/>
        <w:tc>
          <w:tcPr>
            <w:tcW w:w="75"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w:t>
            </w:r>
          </w:p>
        </w:tc>
        <w:tc>
          <w:tcPr>
            <w:tcW w:w="991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xml:space="preserve">● </w:t>
            </w:r>
          </w:p>
        </w:tc>
        <w:tc>
          <w:tcPr>
            <w:tcW w:w="9914" w:type="dxa"/>
            <w:tcBorders/>
            <w:vAlign w:val="center"/>
          </w:tcPr>
          <w:p>
            <w:pPr>
              <w:pStyle w:val="TableContents"/>
              <w:bidi w:val="0"/>
              <w:spacing w:before="0" w:after="283"/>
              <w:jc w:val="both"/>
              <w:rPr/>
            </w:pPr>
            <w:r>
              <w:rPr/>
              <w:t xml:space="preserve">the aggregate number of rights issued and the aggregate amount of Class A Ordinary Shares purchasable upon exercise of the rights; </w:t>
            </w:r>
          </w:p>
        </w:tc>
      </w:tr>
      <w:tr>
        <w:trPr/>
        <w:tc>
          <w:tcPr>
            <w:tcW w:w="75"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w:t>
            </w:r>
          </w:p>
        </w:tc>
        <w:tc>
          <w:tcPr>
            <w:tcW w:w="991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both"/>
              <w:rPr/>
            </w:pPr>
            <w:r>
              <w:rPr/>
              <w:t xml:space="preserve">● </w:t>
            </w:r>
          </w:p>
        </w:tc>
        <w:tc>
          <w:tcPr>
            <w:tcW w:w="9914" w:type="dxa"/>
            <w:tcBorders/>
            <w:vAlign w:val="center"/>
          </w:tcPr>
          <w:p>
            <w:pPr>
              <w:pStyle w:val="TableContents"/>
              <w:bidi w:val="0"/>
              <w:spacing w:before="0" w:after="283"/>
              <w:jc w:val="both"/>
              <w:rPr/>
            </w:pPr>
            <w:r>
              <w:rPr/>
              <w:t xml:space="preserve">the exercise price;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conditions to completion of the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applicable federal income tax considerations.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Class A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27</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DESCRIPTION OF UNITS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Class A Ordinary Shares, warrants and rights (each as described above).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document when it is filed.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provisions for the issuance, payment, settlement, transfer, or exchange of the units or of the securities composing the units;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units will be issued in fully registered or global form;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units.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Rights</w:t>
      </w:r>
      <w:r>
        <w:rPr>
          <w:rFonts w:ascii="Times New Roman;Times;Serif" w:hAnsi="Times New Roman;Times;Serif"/>
          <w:b w:val="false"/>
          <w:i w:val="false"/>
          <w:caps w:val="false"/>
          <w:smallCaps w:val="false"/>
          <w:sz w:val="20"/>
        </w:rPr>
        <w:t>” above, will apply to each unit and to each security included in each unit, respectively.</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PLAN OF DISTRIBUTION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70"/>
        <w:gridCol w:w="25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through agents;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to or through underwriters;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broker-dealers (acting as agent or principal);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directly by us to purchasers (including our affiliates and shareholders), through a specific bidding or auction process, a rights offering, or other method;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any other methods described in a prospectus supplement.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purchases by a broker-dealer as principal and resale by the broker-dealer for its own account pursuant to a prospectus supplement;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ordinary brokerage transactions and transactions in which a broker-dealer solicits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in other ways not involving market makers or established trading markets, including direct sales to purchasers.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29</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TAXATION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w:t>
      </w:r>
      <w:r>
        <w:rPr>
          <w:rFonts w:ascii="Times New Roman;Times;Serif" w:hAnsi="Times New Roman;Times;Serif"/>
          <w:b w:val="false"/>
          <w:i/>
          <w:caps w:val="false"/>
          <w:smallCaps w:val="false"/>
          <w:sz w:val="20"/>
        </w:rPr>
        <w:t>Item 10. Additional Information—E. Taxation</w:t>
      </w:r>
      <w:r>
        <w:rPr>
          <w:rFonts w:ascii="Times New Roman;Times;Serif" w:hAnsi="Times New Roman;Times;Serif"/>
          <w:b w:val="false"/>
          <w:i w:val="false"/>
          <w:caps w:val="false"/>
          <w:smallCaps w:val="false"/>
          <w:sz w:val="20"/>
        </w:rPr>
        <w:t>” in the 2024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30</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SELLING SHAREHOLDERS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Such selling shareholders may also sell, transfer or otherwise dispose of Ordinary Shares in transactions exempt from the registration requirements of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EXPENSES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 SEC registration fee of $41,430,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MATERIAL CONTRACTS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w:t>
      </w:r>
      <w:r>
        <w:rPr>
          <w:rFonts w:ascii="Times New Roman;Times;Serif" w:hAnsi="Times New Roman;Times;Serif"/>
          <w:b w:val="false"/>
          <w:i/>
          <w:caps w:val="false"/>
          <w:smallCaps w:val="false"/>
          <w:sz w:val="20"/>
        </w:rPr>
        <w:t xml:space="preserve">Incorporation of Documents by Reference” </w:t>
      </w:r>
      <w:r>
        <w:rPr>
          <w:rFonts w:ascii="Times New Roman;Times;Serif" w:hAnsi="Times New Roman;Times;Serif"/>
          <w:b w:val="false"/>
          <w:i w:val="false"/>
          <w:caps w:val="false"/>
          <w:smallCaps w:val="false"/>
          <w:sz w:val="20"/>
        </w:rPr>
        <w:t>below.</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MATERIAL CHANGES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2024 Annual Report, in our reports of foreign issuer on Form 6-K filed or submitted under the Exchange Act and incorporated by reference herein, and as disclosed in this prospectus or the applicable prospectus supplement, no reportable material changes have occurred since December 31, 2024.</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(Cayman) LLP, our counsel as to Cayman Islands law. Legal matters as to PRC law will be passed upon for us by Global Law Office.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2024, and for the year ended December 31, 2024, incorporated by reference into this prospectus from the 2024 Annual Report, have been audited by HTL International, LLC, an independent registered public accounting firm, as stated in their report. Such financial statements have been so included in reliance upon the report of such firm given upon their authority as experts in auditing and accounting. The office of HTL International, LLC was located at 12 Greenway Plaza Suite 1100 Houston, TX 77046.</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31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2023, and for each of the two years in the period ended December 31, 2023, incorporated by reference into this prospectus from the 2024 Annual Report, have been audited by TPS Thayer, LLC, an independent registered public accounting firm, as stated in their report. Such financial statements have been so included in reliance upon the report of such firm given upon their authority as experts in auditing and accounting. The office of TPS Thayer, LLC is located at 1600 Hwy. 6, Suite 100, Sugar Land, TX 77478.</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INCORPORATION OF DOCUMENTS BY REFERENCE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is incorporated by reference herein, modifies or supersedes such earlier statement. Any such statement so modified or superseded shall not be deemed, except as so modified or superseded, to constitute a part of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 xml:space="preserve">our annual report on </w:t>
            </w:r>
            <w:hyperlink r:id="rId11">
              <w:r>
                <w:rPr>
                  <w:rStyle w:val="InternetLink"/>
                </w:rPr>
                <w:t>Form 20-F</w:t>
              </w:r>
            </w:hyperlink>
            <w:r>
              <w:rPr/>
              <w:t xml:space="preserve"> for the fiscal year ended December 31, 2024 filed with the SEC on April 28,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xml:space="preserve">2. </w:t>
            </w:r>
          </w:p>
        </w:tc>
        <w:tc>
          <w:tcPr>
            <w:tcW w:w="9955" w:type="dxa"/>
            <w:tcBorders/>
            <w:vAlign w:val="center"/>
          </w:tcPr>
          <w:p>
            <w:pPr>
              <w:pStyle w:val="TableContents"/>
              <w:bidi w:val="0"/>
              <w:spacing w:before="0" w:after="283"/>
              <w:jc w:val="both"/>
              <w:rPr/>
            </w:pPr>
            <w:r>
              <w:rPr/>
              <w:t xml:space="preserve">our reports of foreign private issuer on Form 6-K filed with the SEC on </w:t>
            </w:r>
            <w:hyperlink r:id="rId12">
              <w:r>
                <w:rPr>
                  <w:rStyle w:val="InternetLink"/>
                </w:rPr>
                <w:t>March 18, 2026</w:t>
              </w:r>
            </w:hyperlink>
            <w:r>
              <w:rPr/>
              <w:t xml:space="preserve">, </w:t>
            </w:r>
            <w:hyperlink r:id="rId13">
              <w:r>
                <w:rPr>
                  <w:rStyle w:val="InternetLink"/>
                </w:rPr>
                <w:t>March 6, 2026</w:t>
              </w:r>
            </w:hyperlink>
            <w:r>
              <w:rPr/>
              <w:t xml:space="preserve">, </w:t>
            </w:r>
            <w:hyperlink r:id="rId14">
              <w:r>
                <w:rPr>
                  <w:rStyle w:val="InternetLink"/>
                </w:rPr>
                <w:t>January 6, 2026</w:t>
              </w:r>
            </w:hyperlink>
            <w:r>
              <w:rPr/>
              <w:t xml:space="preserve">, </w:t>
            </w:r>
            <w:hyperlink r:id="rId15">
              <w:r>
                <w:rPr>
                  <w:rStyle w:val="InternetLink"/>
                </w:rPr>
                <w:t>December 22, 2025</w:t>
              </w:r>
            </w:hyperlink>
            <w:r>
              <w:rPr/>
              <w:t xml:space="preserve">, </w:t>
            </w:r>
            <w:hyperlink r:id="rId16">
              <w:r>
                <w:rPr>
                  <w:rStyle w:val="InternetLink"/>
                </w:rPr>
                <w:t>November 25, 2025</w:t>
              </w:r>
            </w:hyperlink>
            <w:r>
              <w:rPr/>
              <w:t xml:space="preserve">, </w:t>
            </w:r>
            <w:hyperlink r:id="rId17">
              <w:r>
                <w:rPr>
                  <w:rStyle w:val="InternetLink"/>
                </w:rPr>
                <w:t>October 20, 2025</w:t>
              </w:r>
            </w:hyperlink>
            <w:r>
              <w:rPr/>
              <w:t xml:space="preserve">, </w:t>
            </w:r>
            <w:hyperlink r:id="rId18">
              <w:r>
                <w:rPr>
                  <w:rStyle w:val="InternetLink"/>
                </w:rPr>
                <w:t>September 22, 2025</w:t>
              </w:r>
            </w:hyperlink>
            <w:r>
              <w:rPr/>
              <w:t xml:space="preserve">, </w:t>
            </w:r>
            <w:hyperlink r:id="rId19">
              <w:r>
                <w:rPr>
                  <w:rStyle w:val="InternetLink"/>
                </w:rPr>
                <w:t>September 22, 2025</w:t>
              </w:r>
            </w:hyperlink>
            <w:r>
              <w:rPr/>
              <w:t xml:space="preserve">, </w:t>
            </w:r>
            <w:hyperlink r:id="rId20">
              <w:r>
                <w:rPr>
                  <w:rStyle w:val="InternetLink"/>
                </w:rPr>
                <w:t>August 27, 2025</w:t>
              </w:r>
            </w:hyperlink>
            <w:r>
              <w:rPr/>
              <w:t xml:space="preserve">, </w:t>
            </w:r>
            <w:hyperlink r:id="rId21">
              <w:r>
                <w:rPr>
                  <w:rStyle w:val="InternetLink"/>
                </w:rPr>
                <w:t>August 21, 2025</w:t>
              </w:r>
            </w:hyperlink>
            <w:r>
              <w:rPr/>
              <w:t xml:space="preserve">, </w:t>
            </w:r>
            <w:hyperlink r:id="rId22">
              <w:r>
                <w:rPr>
                  <w:rStyle w:val="InternetLink"/>
                </w:rPr>
                <w:t>August 4, 2025</w:t>
              </w:r>
            </w:hyperlink>
            <w:r>
              <w:rPr/>
              <w:t xml:space="preserve">, </w:t>
            </w:r>
            <w:hyperlink r:id="rId23">
              <w:r>
                <w:rPr>
                  <w:rStyle w:val="InternetLink"/>
                </w:rPr>
                <w:t>May 21, 2025</w:t>
              </w:r>
            </w:hyperlink>
            <w:r>
              <w:rPr/>
              <w:t xml:space="preserve">, </w:t>
            </w:r>
            <w:hyperlink r:id="rId24">
              <w:r>
                <w:rPr>
                  <w:rStyle w:val="InternetLink"/>
                </w:rPr>
                <w:t>May 19, 2025</w:t>
              </w:r>
            </w:hyperlink>
            <w:r>
              <w:rPr/>
              <w:t xml:space="preserve">, and </w:t>
            </w:r>
            <w:hyperlink r:id="rId25">
              <w:r>
                <w:rPr>
                  <w:rStyle w:val="InternetLink"/>
                </w:rPr>
                <w:t>April 29, 2025</w:t>
              </w:r>
            </w:hyperlink>
            <w:r>
              <w:rPr/>
              <w:t xml:space="preserv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3.</w:t>
            </w:r>
          </w:p>
        </w:tc>
        <w:tc>
          <w:tcPr>
            <w:tcW w:w="9973" w:type="dxa"/>
            <w:tcBorders/>
            <w:vAlign w:val="center"/>
          </w:tcPr>
          <w:p>
            <w:pPr>
              <w:pStyle w:val="TableContents"/>
              <w:bidi w:val="0"/>
              <w:spacing w:before="0" w:after="283"/>
              <w:jc w:val="both"/>
              <w:rPr/>
            </w:pPr>
            <w:r>
              <w:rPr/>
              <w:t xml:space="preserve">the description of our securities contained in our registration statement on </w:t>
            </w:r>
            <w:hyperlink r:id="rId26">
              <w:r>
                <w:rPr>
                  <w:rStyle w:val="InternetLink"/>
                </w:rPr>
                <w:t>Form 8-A</w:t>
              </w:r>
            </w:hyperlink>
            <w:r>
              <w:rPr/>
              <w:t xml:space="preserve"> filed with the SEC on September 26, 2024, the description of securities contained in </w:t>
            </w:r>
            <w:hyperlink r:id="rId27">
              <w:r>
                <w:rPr>
                  <w:rStyle w:val="InternetLink"/>
                </w:rPr>
                <w:t>exhibit 2.3</w:t>
              </w:r>
            </w:hyperlink>
            <w:r>
              <w:rPr/>
              <w:t xml:space="preserve"> to the 2024 Annual Report filed with the SEC on April 28, 2025, and any amendment or report filed for the purpose of updating such description;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283"/>
              <w:jc w:val="both"/>
              <w:rPr/>
            </w:pPr>
            <w:r>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 xml:space="preserve">Our annual report on </w:t>
      </w:r>
      <w:hyperlink r:id="rId28">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2024 filed with the SEC on April 28, 2025, contains a description of our business and audited consolidated financial statements with a report by our independent auditors. These statements were prepared in accordance with U.S. GAAP.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No.8, Jingqiang Road, 138 Industrial Zone,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Xiuxin Community, Kengzi Town,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Pingshan New Area, Shenzhen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518122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+86-0755-28341175</w:t>
      </w:r>
    </w:p>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32</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WHERE YOU CAN FIND ADDITIONAL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0" w:name="a_039"/>
      <w:bookmarkEnd w:id="40"/>
      <w:r>
        <w:rPr>
          <w:rFonts w:ascii="Times New Roman;Times;Serif" w:hAnsi="Times New Roman;Times;Serif"/>
          <w:b/>
          <w:i w:val="false"/>
          <w:caps w:val="false"/>
          <w:smallCaps w:val="false"/>
          <w:sz w:val="20"/>
        </w:rPr>
        <w:t>ENFORCEABILITY OF CIVIL LIABILITIES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Cayman Islands has a less exhaustive body of securities laws than the United States and these securities laws provide significantly less protection to investors; and</w:t>
            </w:r>
          </w:p>
        </w:tc>
      </w:tr>
    </w:tbl>
    <w:p>
      <w:pPr>
        <w:pStyle w:val="TextBody"/>
        <w:bidi w:val="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33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(Cayman) LLP, our counsel with respect to the laws of the Cayman Islands, has advised us that the courts of the Cayman Islands are unlikely (i) to recognize or enforce against us, judgments of the United States courts obtained against us or our directors or officers predicated upon the civil liability provisions of the securities laws of the United States or any state in the United States; or (ii) in original actions brought in the Cayman Islands, to impose liabilities against us or our directors or officers predicated upon the civil liability provisions of the securities laws of the United States or any state in the United States, so far as the liabilities imposed by those provisions are penal in nature.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(Cayman) LLP has further advised us that, in those circumstances, although there is currently no statutory enforcement or treaty between the United States and the Cayman Islands providing for enforcement of judgments, the courts of the Cayman Islands may recognize and enforce a foreign money judgment of a foreign court of competent jurisdiction without a retrial on the merits based on the principle that a judgment of a competent foreign court imposes upon the judgment debtor an obligation to pay the amount for which the judgment was issued, provided certain conditions are met. For a foreign judgment to be enforced in the Cayman Islands, such judgment must be final and conclusive, given by a court of competent jurisdiction (the courts of the Cayman Islands will apply the rules of Cayman Islands private international law to determine whether the foreign court is a court of competent jurisdiction), and must not be in respect of taxes, a fine, or a penalty, inconsistent with a Cayman Islands judgment on the same matter, impeachable on the grounds of fraud, or obtained in a manner or of a kind that would be contrary to natural justice or the public policy of the Cayman Islands. Furthermore, it is uncertain that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Ogier (Cayman) LLP has informed us that there is uncertainty with regard to Cayman Islands law relating to whether a judgment obtained from the U.S. courts under civil liability provisions of the securities laws will be determined by the courts of the Cayman Islands as penal or punitive in nature. A Cayman Islands court may stay enforcement proceedings if concurrent proceedings are being brought elsewhere.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legal counsel, Global Law Office,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Our PRC legal counsel, Global Law Office,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The PRC does not have any treaties or other agreements with the United States or the Cayman Islands that provide for the reciprocal recognition and enforcement of foreign judgments.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$9,800,000 Class A Ordinary Shares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276350" cy="942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9"/>
                    <a:stretch>
                      <a:fillRect/>
                    </a:stretch>
                  </pic:blipFill>
                  <pic:spPr bwMode="auto">
                    <a:xfrm>
                      <a:off x="0" y="0"/>
                      <a:ext cx="1276350" cy="9429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 2026</w:t>
      </w:r>
    </w:p>
    <w:p>
      <w:pPr>
        <w:pStyle w:val="TextBody"/>
        <w:bidi w:val="0"/>
        <w:jc w:val="center"/>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hyperlink" Target="http://www.sec.gov/ix?doc=/Archives/edgar/data/0001941506/000173112226000625/e7578_20f.htm" TargetMode="External"/><Relationship Id="rId6" Type="http://schemas.openxmlformats.org/officeDocument/2006/relationships/hyperlink" Target="http://www.sec.gov/Archives/edgar/data/1941506/000173112224001489/e5982_8a12b.htm" TargetMode="External"/><Relationship Id="rId7" Type="http://schemas.openxmlformats.org/officeDocument/2006/relationships/hyperlink" Target="http://www.sec.gov/Archives/edgar/data/1941506/000173112226000625/e7578_ex2-2.htm" TargetMode="External"/><Relationship Id="rId8" Type="http://schemas.openxmlformats.org/officeDocument/2006/relationships/hyperlink" Target="http://www.sec.gov/ix?doc=/Archives/edgar/data/1941506/000173112226000625/e7578_20f.htm" TargetMode="External"/><Relationship Id="rId9" Type="http://schemas.openxmlformats.org/officeDocument/2006/relationships/image" Target="media/image1.jpeg"/><Relationship Id="rId10" Type="http://schemas.openxmlformats.org/officeDocument/2006/relationships/image" Target="media/image4.jpeg"/><Relationship Id="rId11" Type="http://schemas.openxmlformats.org/officeDocument/2006/relationships/hyperlink" Target="http://www.sec.gov/ix?doc=/Archives/edgar/data/0001941506/000173112225000613/e6523_20f.htm" TargetMode="External"/><Relationship Id="rId12" Type="http://schemas.openxmlformats.org/officeDocument/2006/relationships/hyperlink" Target="http://www.sec.gov/Archives/edgar/data/0001941506/000173112226000414/e7452_6k.htm" TargetMode="External"/><Relationship Id="rId13" Type="http://schemas.openxmlformats.org/officeDocument/2006/relationships/hyperlink" Target="http://www.sec.gov/Archives/edgar/data/0001941506/000173112226000349/e7407_6k.htm" TargetMode="External"/><Relationship Id="rId14" Type="http://schemas.openxmlformats.org/officeDocument/2006/relationships/hyperlink" Target="http://www.sec.gov/Archives/edgar/data/0001941506/000173112226000013/e7176_6k.htm" TargetMode="External"/><Relationship Id="rId15" Type="http://schemas.openxmlformats.org/officeDocument/2006/relationships/hyperlink" Target="http://www.sec.gov/Archives/edgar/data/0001941506/000173112225001704/e7156_6-k.htm" TargetMode="External"/><Relationship Id="rId16" Type="http://schemas.openxmlformats.org/officeDocument/2006/relationships/hyperlink" Target="http://www.sec.gov/Archives/edgar/data/0001941506/000173112225001590/e7069_6k.htm" TargetMode="External"/><Relationship Id="rId17" Type="http://schemas.openxmlformats.org/officeDocument/2006/relationships/hyperlink" Target="http://www.sec.gov/Archives/edgar/data/0001941506/000173112225001403/e6963_6-k.htm" TargetMode="External"/><Relationship Id="rId18" Type="http://schemas.openxmlformats.org/officeDocument/2006/relationships/hyperlink" Target="http://www.sec.gov/ix?doc=/Archives/edgar/data/0001941506/000173112225001278/e6859_6-k.htm" TargetMode="External"/><Relationship Id="rId19" Type="http://schemas.openxmlformats.org/officeDocument/2006/relationships/hyperlink" Target="http://www.sec.gov/Archives/edgar/data/0001941506/000173112225001279/e6864_6k.htm" TargetMode="External"/><Relationship Id="rId20" Type="http://schemas.openxmlformats.org/officeDocument/2006/relationships/hyperlink" Target="http://www.sec.gov/Archives/edgar/data/0001941506/000173112225001176/e6810_6ka.htm" TargetMode="External"/><Relationship Id="rId21" Type="http://schemas.openxmlformats.org/officeDocument/2006/relationships/hyperlink" Target="http://www.sec.gov/Archives/edgar/data/0001941506/000173112225001164/e6803_6k.htm" TargetMode="External"/><Relationship Id="rId22" Type="http://schemas.openxmlformats.org/officeDocument/2006/relationships/hyperlink" Target="http://www.sec.gov/Archives/edgar/data/0001941506/000173112225001062/e6749_6k.htm" TargetMode="External"/><Relationship Id="rId23" Type="http://schemas.openxmlformats.org/officeDocument/2006/relationships/hyperlink" Target="http://www.sec.gov/Archives/edgar/data/0001941506/000173112225000790/e6620_6-k.htm" TargetMode="External"/><Relationship Id="rId24" Type="http://schemas.openxmlformats.org/officeDocument/2006/relationships/hyperlink" Target="http://www.sec.gov/Archives/edgar/data/0001941506/000173112225000781/e6607_6k.htm" TargetMode="External"/><Relationship Id="rId25" Type="http://schemas.openxmlformats.org/officeDocument/2006/relationships/hyperlink" Target="http://www.sec.gov/Archives/edgar/data/0001941506/000173112225000619/e6541_6-k.htm" TargetMode="External"/><Relationship Id="rId26" Type="http://schemas.openxmlformats.org/officeDocument/2006/relationships/hyperlink" Target="http://www.sec.gov/Archives/edgar/data/0001941506/000173112224001489/e5982_8a12b.htm" TargetMode="External"/><Relationship Id="rId27" Type="http://schemas.openxmlformats.org/officeDocument/2006/relationships/hyperlink" Target="http://www.sec.gov/Archives/edgar/data/0001941506/000173112225000613/e6523_ex2-3.htm" TargetMode="External"/><Relationship Id="rId28" Type="http://schemas.openxmlformats.org/officeDocument/2006/relationships/hyperlink" Target="http://www.sec.gov/ix?doc=/Archives/edgar/data/0001941506/000173112225000613/e6523_20f.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40866</Words>
  <Characters>215526</Characters>
  <CharactersWithSpaces>256743</CharactersWithSpaces>
  <Paragraphs>2677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