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0" w:after="60"/>
        <w:jc w:val="left"/>
        <w:rPr>
          <w:bdr w:val="single" w:sz="16" w:space="1" w:color="000000"/>
        </w:rPr>
      </w:pPr>
      <w:bookmarkStart w:id="0" w:name="e7804_6k.htm"/>
      <w:bookmarkStart w:id="1" w:name="kse7804_6k"/>
      <w:bookmarkEnd w:id="0"/>
      <w:bookmarkEnd w:id="1"/>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001-42286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ZJK Industrial Co.,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No.8, Jingqiang Road, 138 Industrial Zone,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Xiuxin Community, Kengzi Town,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Pingshan New Area, Shenzhen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518122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+86-0755-28341175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jc w:val="left"/>
        <w:rPr>
          <w:caps w:val="false"/>
          <w:smallCaps w:val="false"/>
        </w:rPr>
      </w:pPr>
      <w:r>
        <w:rPr>
          <w:caps w:val="false"/>
          <w:smallCaps w:val="false"/>
        </w:rPr>
        <w:t> </w:t>
      </w:r>
    </w:p>
    <w:p>
      <w:pPr>
        <w:pStyle w:val="TextBody"/>
        <w:bidi w:val="0"/>
        <w:jc w:val="center"/>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Form 20-F </w:t>
      </w:r>
      <w:r>
        <w:rPr>
          <w:rFonts w:ascii="Calibri;Helvetica;Sans-Serif" w:hAnsi="Calibri;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Form 40-F </w:t>
      </w:r>
      <w:r>
        <w:rPr>
          <w:rFonts w:ascii="Calibri;Helvetica;Sans-Serif" w:hAnsi="Calibri;Helvetica;San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Agreement for At The Market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ZJK Industrial Co., Ltd., an exempted company incorporated under the laws of the Cayman Islands (the “Company”) entered into a sales agreement (the “Sales Agreement”) with Chaince Securities, LLC (the “Sales Agent”), acting as the Company’s sales agent, pursuant to which the Company may offer and sell, from time to time, to or through the Sales Agent, Class A ordinary shares of the Company, par value $0.000016666667 per share (the “Class A Ordinary Shares,” and such Class A Ordinary Shares offered and sold pursuant to the Sales Agreement, the “Offered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Sales Agreement, the Offered Shares will be offered and sold pursuant to a base prospectus, dated March 27, 2026, and a prospectus supplement, dated August 3, 2026, providing for the offer and sale of up to $9,800,000 of Class A Ordinary Shares, that form a part of the Company’s shelf registration statement on Form F-3, as amended (File No. 333-293519), which was declared effective by the U.S. Securities and Exchange Commission (the “SEC”) on March 27,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obligated to sell any Offered Shares under the Sales Agreement, and the Sales Agent is not under any obligation to purchase any Offered Shares (including on a principal basis) pursuant to the Sales Agreement, except as otherwise agreed by the Sales Agent and the Company in writing pursuant to a separate agreement setting forth the terms of such sale. Subject to the terms and conditions of the Sales Agreement, the Sales Agent will use commercially reasonable efforts consistent with its normal trading and sales practices and applicable state and federal laws, rules and regulations and the rules of The Nasdaq Stock Market LLC to sell Offered Shares from time to time based upon the Company’s instructions, including any price, time or size limits specified by the Company. Upon delivery of a placement notice, and subject to the Company’s instructions in that notice, and the terms and conditions of the Sales Agreement generally, the Sales Agent may sell Offered Shares by any method permitted by law that is deemed to be an “at the market offering” as defined by Rule 415(a)(4) promulgated under the Securities Act of 1933, as amended (the “Securities Act”). The Sales Agreement contains customary representations and warranties of the parties. The Company will pay the Sales Agent a fixed commission of 3.0% of the aggregate gross proceeds from each sale of the Offered Shares plus a per share fee of US$0.02 per Class A Ordinary Share sold to cover execution and clearing costs, and the Company has agreed to provide the Sales Agent with customary indemnification and contribution rights. The Company has also agreed to reimburse the Sales Agent for certain specified expenses in amounts (x) not to exceed $100,000 in connection with the negotiation, execution and initial implementation of the Sales Agreement and the transactions contemplated thereby, and (y) not to exceed $10,000 for each representation date on which the Company is required to provide a certificate under the Sales Agreement. The Sales Agent and the Company have the right, by giving notice as specified in the Sales Agreement, to terminate the Sales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Sales Agreement does not purport to be complete and is qualified in its entirety by reference to the full text of the Sales Agreement, a copy of which is attached as Exhibit 10.1 to this Form 6-K and incorporated by reference herein. A copy of the opinion of Ogier (Cayman) LLP, as Cayman Islands counsel to the Company, regarding the legality of the issuance and allotment of the Class A Ordinary Shares under the Sales Agreement is attached hereto as Exhibit 5.1 to this Form 6-K and is incorporated by reference herein. Copies of the consent letters of HTL International, LLC with respect to consolidated financial statements of PSM-ZJK Fasteners (Shenzhen) Co., Ltd as of December 31, 2024 and 2025, and for each of the two years in the period ended December 31, 2025 and TPS Thayer, LLC with respect to financial statements of PSM-ZJK Fasteners (Shenzhen) Co., Ltd as of and for the year ended December 31, 2023 are attached hereto as Exhibit 23.2 and 23.3, respectively, to this Form 6-K and are incorporate by reference 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shall not constitute an offer to sell or the solicitation of an offer to buy nor shall there be any sale of the Offered Shares in any state or jurisdiction in which such offer, solicitation or sale would be unlawful prior to registration or qualification under the securities laws of any such state or jurisdiction.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contents of this Report on Form 6-K are hereby incorporated by reference into (i) the Company’s registration statement on Form S-8 (File No. </w:t>
      </w:r>
      <w:r>
        <w:rPr>
          <w:rFonts w:ascii="Times New Roman;Times;Serif" w:hAnsi="Times New Roman;Times;Serif"/>
          <w:b w:val="false"/>
          <w:i w:val="false"/>
          <w:caps w:val="false"/>
          <w:smallCaps w:val="false"/>
          <w:color w:val="0000FF"/>
          <w:sz w:val="20"/>
          <w:u w:val="single"/>
        </w:rPr>
        <w:t>333-288383</w:t>
      </w:r>
      <w:r>
        <w:rPr>
          <w:rFonts w:ascii="Times New Roman;Times;Serif" w:hAnsi="Times New Roman;Times;Serif"/>
          <w:b w:val="false"/>
          <w:i w:val="false"/>
          <w:caps w:val="false"/>
          <w:smallCaps w:val="false"/>
          <w:sz w:val="20"/>
        </w:rPr>
        <w:t xml:space="preserve">) filed with the SEC on June 27, 2025 and (ii) the Company’s registration statement on Form F-3 (File No. </w:t>
      </w:r>
      <w:r>
        <w:rPr>
          <w:rFonts w:ascii="Times New Roman;Times;Serif" w:hAnsi="Times New Roman;Times;Serif"/>
          <w:b w:val="false"/>
          <w:i w:val="false"/>
          <w:caps w:val="false"/>
          <w:smallCaps w:val="false"/>
          <w:color w:val="0000FF"/>
          <w:sz w:val="20"/>
          <w:u w:val="single"/>
        </w:rPr>
        <w:t>333-293519</w:t>
      </w:r>
      <w:r>
        <w:rPr>
          <w:rFonts w:ascii="Times New Roman;Times;Serif" w:hAnsi="Times New Roman;Times;Serif"/>
          <w:b w:val="false"/>
          <w:i w:val="false"/>
          <w:caps w:val="false"/>
          <w:smallCaps w:val="false"/>
          <w:sz w:val="20"/>
        </w:rPr>
        <w:t>) that was initially filed with the SEC on February 17, 2026 and declared effective by the SEC on March 27,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jc w:val="both"/>
        <w:rPr>
          <w:caps w:val="false"/>
          <w:smallCaps w:val="false"/>
        </w:rPr>
      </w:pPr>
      <w:r>
        <w:rPr>
          <w:caps w:val="false"/>
          <w:smallCaps w:val="false"/>
        </w:rPr>
        <w:t> </w:t>
      </w:r>
    </w:p>
    <w:tbl>
      <w:tblPr>
        <w:tblW w:w="9610" w:type="dxa"/>
        <w:jc w:val="left"/>
        <w:tblInd w:w="0" w:type="dxa"/>
        <w:tblLayout w:type="fixed"/>
        <w:tblCellMar>
          <w:top w:w="0" w:type="dxa"/>
          <w:left w:w="0" w:type="dxa"/>
          <w:bottom w:w="28" w:type="dxa"/>
          <w:right w:w="0" w:type="dxa"/>
        </w:tblCellMar>
      </w:tblPr>
      <w:tblGrid>
        <w:gridCol w:w="1400"/>
        <w:gridCol w:w="60"/>
        <w:gridCol w:w="8150"/>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1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Description</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0" w:type="dxa"/>
            <w:tcBorders/>
            <w:shd w:fill="CCEEFF" w:val="clear"/>
            <w:tcMar>
              <w:bottom w:w="0" w:type="dxa"/>
            </w:tcMar>
            <w:vAlign w:val="center"/>
          </w:tcPr>
          <w:p>
            <w:pPr>
              <w:pStyle w:val="TableContents"/>
              <w:bidi w:val="0"/>
              <w:spacing w:before="0" w:after="283"/>
              <w:jc w:val="left"/>
              <w:rPr/>
            </w:pPr>
            <w:hyperlink w:anchor="e7804_ex5-1.htm">
              <w:r>
                <w:rPr>
                  <w:rStyle w:val="InternetLink"/>
                  <w:rFonts w:ascii="Times New Roman;Times;Serif" w:hAnsi="Times New Roman;Times;Serif"/>
                  <w:sz w:val="20"/>
                </w:rPr>
                <w:t>Opinion of Ogier (Cayman) LLP, Cayman Islands counsel to the Company</w:t>
              </w:r>
            </w:hyperlink>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0" w:type="dxa"/>
            <w:tcBorders/>
            <w:shd w:fill="FFFFFF" w:val="clear"/>
            <w:tcMar>
              <w:bottom w:w="0" w:type="dxa"/>
            </w:tcMar>
            <w:vAlign w:val="center"/>
          </w:tcPr>
          <w:p>
            <w:pPr>
              <w:pStyle w:val="TableContents"/>
              <w:bidi w:val="0"/>
              <w:spacing w:before="0" w:after="283"/>
              <w:jc w:val="left"/>
              <w:rPr/>
            </w:pPr>
            <w:hyperlink w:anchor="e7804_ex10-1.htm">
              <w:r>
                <w:rPr>
                  <w:rStyle w:val="InternetLink"/>
                  <w:rFonts w:ascii="Times New Roman;Times;Serif" w:hAnsi="Times New Roman;Times;Serif"/>
                  <w:sz w:val="20"/>
                </w:rPr>
                <w:t>Sales Agreement, dated August 3, 2026, by and between the Company and the Sales Agent</w:t>
              </w:r>
            </w:hyperlink>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0" w:type="dxa"/>
            <w:tcBorders/>
            <w:shd w:fill="CCEEFF" w:val="clear"/>
            <w:tcMar>
              <w:bottom w:w="0" w:type="dxa"/>
            </w:tcMar>
            <w:vAlign w:val="center"/>
          </w:tcPr>
          <w:p>
            <w:pPr>
              <w:pStyle w:val="TableContents"/>
              <w:bidi w:val="0"/>
              <w:spacing w:before="0" w:after="283"/>
              <w:jc w:val="left"/>
              <w:rPr/>
            </w:pPr>
            <w:hyperlink w:anchor="e7804_ex23-1.htm">
              <w:r>
                <w:rPr>
                  <w:rStyle w:val="InternetLink"/>
                  <w:rFonts w:ascii="Times New Roman;Times;Serif" w:hAnsi="Times New Roman;Times;Serif"/>
                  <w:sz w:val="20"/>
                </w:rPr>
                <w:t xml:space="preserve">Consent of Ogier (Cayman) LLP, Cayman Islands counsel to the Company (included in Exhibit 5.1) </w:t>
              </w:r>
            </w:hyperlink>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0" w:type="dxa"/>
            <w:tcBorders/>
            <w:shd w:fill="FFFFFF" w:val="clear"/>
            <w:tcMar>
              <w:bottom w:w="0" w:type="dxa"/>
            </w:tcMar>
            <w:vAlign w:val="center"/>
          </w:tcPr>
          <w:p>
            <w:pPr>
              <w:pStyle w:val="TableContents"/>
              <w:bidi w:val="0"/>
              <w:spacing w:before="0" w:after="283"/>
              <w:jc w:val="left"/>
              <w:rPr/>
            </w:pPr>
            <w:hyperlink w:anchor="e7804_ex23-2.htm">
              <w:r>
                <w:rPr>
                  <w:rStyle w:val="InternetLink"/>
                  <w:rFonts w:ascii="Times New Roman;Times;Serif" w:hAnsi="Times New Roman;Times;Serif"/>
                  <w:sz w:val="20"/>
                </w:rPr>
                <w:t>Consent of HTL International, LLC</w:t>
              </w:r>
            </w:hyperlink>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0" w:type="dxa"/>
            <w:tcBorders/>
            <w:shd w:fill="CCEEFF" w:val="clear"/>
            <w:tcMar>
              <w:bottom w:w="0" w:type="dxa"/>
            </w:tcMar>
            <w:vAlign w:val="center"/>
          </w:tcPr>
          <w:p>
            <w:pPr>
              <w:pStyle w:val="TableContents"/>
              <w:bidi w:val="0"/>
              <w:spacing w:before="0" w:after="283"/>
              <w:jc w:val="left"/>
              <w:rPr/>
            </w:pPr>
            <w:hyperlink w:anchor="e7804_ex23-3.htm">
              <w:r>
                <w:rPr>
                  <w:rStyle w:val="InternetLink"/>
                  <w:rFonts w:ascii="Times New Roman;Times;Serif" w:hAnsi="Times New Roman;Times;Serif"/>
                  <w:sz w:val="20"/>
                </w:rPr>
                <w:t>Consent of TPS Thayer, LLC</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thereto duly authorized.</w:t>
      </w:r>
    </w:p>
    <w:p>
      <w:pPr>
        <w:pStyle w:val="TextBody"/>
        <w:bidi w:val="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5"/>
        <w:gridCol w:w="6875"/>
        <w:gridCol w:w="75"/>
      </w:tblGrid>
      <w:tr>
        <w:trPr/>
        <w:tc>
          <w:tcPr>
            <w:tcW w:w="74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ZJK Industrial Co., Ltd.</w:t>
            </w:r>
          </w:p>
        </w:tc>
        <w:tc>
          <w:tcPr>
            <w:tcW w:w="75" w:type="dxa"/>
            <w:tcBorders/>
            <w:vAlign w:val="center"/>
          </w:tcPr>
          <w:p>
            <w:pPr>
              <w:pStyle w:val="TableContents"/>
              <w:bidi w:val="0"/>
              <w:spacing w:before="0" w:after="283"/>
              <w:jc w:val="left"/>
              <w:rPr/>
            </w:pPr>
            <w:r>
              <w:rPr/>
              <w:t> </w:t>
            </w:r>
          </w:p>
        </w:tc>
      </w:tr>
      <w:tr>
        <w:trPr/>
        <w:tc>
          <w:tcPr>
            <w:tcW w:w="74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Ning Ding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Ning Ding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Chief Financial Officer, Chairman of the Board and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200" w:after="60"/>
        <w:jc w:val="left"/>
        <w:rPr>
          <w:bdr w:val="single" w:sz="16" w:space="1" w:color="000000"/>
        </w:rPr>
      </w:pPr>
      <w:bookmarkStart w:id="2" w:name="e7804_ex5-1.htm"/>
      <w:bookmarkStart w:id="3" w:name="kse7804_ex51"/>
      <w:bookmarkEnd w:id="2"/>
      <w:bookmarkEnd w:id="3"/>
      <w:r>
        <w:rPr>
          <w:bdr w:val="single" w:sz="16" w:space="1" w:color="000000"/>
        </w:rPr>
        <w:t> </w:t>
      </w:r>
      <w:r>
        <w:br w:type="page"/>
      </w:r>
    </w:p>
    <w:p>
      <w:pPr>
        <w:pStyle w:val="TextBody"/>
        <w:bidi w:val="0"/>
        <w:spacing w:before="0" w:after="283"/>
        <w:jc w:val="left"/>
        <w:rPr/>
      </w:pPr>
      <w:r>
        <w:rPr/>
        <w:t> </w:t>
      </w:r>
    </w:p>
    <w:p>
      <w:pPr>
        <w:pStyle w:val="TextBody"/>
        <w:bidi w:val="0"/>
        <w:jc w:val="center"/>
        <w:rPr>
          <w:caps w:val="false"/>
          <w:smallCaps w:val="false"/>
        </w:rPr>
      </w:pPr>
      <w:r>
        <w:rPr>
          <w:caps w:val="false"/>
          <w:smallCaps w:val="false"/>
        </w:rPr>
        <w:drawing>
          <wp:inline distT="0" distB="0" distL="0" distR="0">
            <wp:extent cx="11239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57200"/>
                    </a:xfrm>
                    <a:prstGeom prst="rect">
                      <a:avLst/>
                    </a:prstGeom>
                  </pic:spPr>
                </pic:pic>
              </a:graphicData>
            </a:graphic>
          </wp:inline>
        </w:drawing>
      </w: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5.1</w:t>
      </w:r>
    </w:p>
    <w:p>
      <w:pPr>
        <w:pStyle w:val="TextBody"/>
        <w:bidi w:val="0"/>
        <w:jc w:val="righ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380"/>
        <w:gridCol w:w="60"/>
        <w:gridCol w:w="2540"/>
      </w:tblGrid>
      <w:tr>
        <w:trPr/>
        <w:tc>
          <w:tcPr>
            <w:tcW w:w="3380" w:type="dxa"/>
            <w:vMerge w:val="restart"/>
            <w:tcBorders/>
            <w:vAlign w:val="center"/>
          </w:tcPr>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 ICS Corporate Services (Cayman) </w:t>
              <w:br/>
              <w:t xml:space="preserve">Limited, 3-212 Governors Square, 23 </w:t>
              <w:br/>
              <w:t xml:space="preserve">Lime Tree Bay Avenue, P.O. Box 30746, </w:t>
              <w:br/>
              <w:t>Seven Mile Beach, Grand Cayman KY1-</w:t>
              <w:br/>
              <w:t>1203, Cayman Islands</w:t>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D +1 345 949 9876</w:t>
            </w:r>
          </w:p>
        </w:tc>
      </w:tr>
      <w:tr>
        <w:trPr/>
        <w:tc>
          <w:tcPr>
            <w:tcW w:w="33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E bradley.kruger@ogier.com</w:t>
            </w:r>
          </w:p>
        </w:tc>
      </w:tr>
      <w:tr>
        <w:trPr/>
        <w:tc>
          <w:tcPr>
            <w:tcW w:w="33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pPr>
            <w:r>
              <w:rPr/>
              <w:t> </w:t>
            </w:r>
          </w:p>
        </w:tc>
      </w:tr>
      <w:tr>
        <w:trPr/>
        <w:tc>
          <w:tcPr>
            <w:tcW w:w="33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Reference: 504081.00001</w:t>
            </w:r>
          </w:p>
        </w:tc>
      </w:tr>
      <w:tr>
        <w:trPr/>
        <w:tc>
          <w:tcPr>
            <w:tcW w:w="33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pPr>
            <w:r>
              <w:rPr/>
              <w:t> </w:t>
            </w:r>
          </w:p>
        </w:tc>
      </w:tr>
      <w:tr>
        <w:trPr/>
        <w:tc>
          <w:tcPr>
            <w:tcW w:w="338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pPr>
            <w:r>
              <w:rPr/>
              <w:t> </w:t>
            </w:r>
          </w:p>
        </w:tc>
      </w:tr>
      <w:tr>
        <w:trPr/>
        <w:tc>
          <w:tcPr>
            <w:tcW w:w="338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August 2026</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Cayman Islands law in connection with a supplement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xml:space="preserve">) to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filed in connection with the Company’s registration statement on Form F-3,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as amended, (including its exhibits, the Prospectus and the Prospectus Supplement,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The Prospectus Supplement relates to the offering and sale of up to US$9,800,000 worth of Class A ordinary shares of the Company with a par value of US$0.000016666667 each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in accordance with the terms of the Legal Matters section of the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Schedule 1. A reference to a Schedule is a reference to a schedule to this opinion and the headings herein are for convenience only and do not affect the construction of this opinion.</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630"/>
        <w:gridCol w:w="9405"/>
      </w:tblGrid>
      <w:tr>
        <w:trPr/>
        <w:tc>
          <w:tcPr>
            <w:tcW w:w="17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1</w:t>
            </w:r>
          </w:p>
        </w:tc>
        <w:tc>
          <w:tcPr>
            <w:tcW w:w="9405" w:type="dxa"/>
            <w:tcBorders/>
            <w:vAlign w:val="center"/>
          </w:tcPr>
          <w:p>
            <w:pPr>
              <w:pStyle w:val="TableContents"/>
              <w:bidi w:val="0"/>
              <w:spacing w:before="0" w:after="283"/>
              <w:jc w:val="both"/>
              <w:rPr/>
            </w:pPr>
            <w:r>
              <w:rPr/>
              <w:t>Documents examined</w:t>
            </w:r>
          </w:p>
        </w:tc>
      </w:tr>
    </w:tbl>
    <w:p>
      <w:pPr>
        <w:pStyle w:val="TextBody"/>
        <w:bidi w:val="0"/>
        <w:ind w:left="709"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copies of the documents listed in Part B of Schedule 1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In addition, we have examined the corporate and other documents and conducted the searches listed in Part A of Schedule 1.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ind w:left="709"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709" w:right="0" w:hanging="0"/>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990"/>
        <w:gridCol w:w="8947"/>
      </w:tblGrid>
      <w:tr>
        <w:trPr/>
        <w:tc>
          <w:tcPr>
            <w:tcW w:w="26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2</w:t>
            </w:r>
          </w:p>
        </w:tc>
        <w:tc>
          <w:tcPr>
            <w:tcW w:w="8947" w:type="dxa"/>
            <w:tcBorders/>
            <w:vAlign w:val="center"/>
          </w:tcPr>
          <w:p>
            <w:pPr>
              <w:pStyle w:val="TableContents"/>
              <w:bidi w:val="0"/>
              <w:spacing w:before="0" w:after="283"/>
              <w:jc w:val="both"/>
              <w:rPr/>
            </w:pPr>
            <w:r>
              <w:rPr/>
              <w:t>Assumptions</w:t>
            </w:r>
          </w:p>
        </w:tc>
      </w:tr>
    </w:tbl>
    <w:p>
      <w:pPr>
        <w:pStyle w:val="TextBody"/>
        <w:bidi w:val="0"/>
        <w:ind w:left="709"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2 without having carried out any independent investigation or verification in respect of those assumptions.</w:t>
      </w:r>
    </w:p>
    <w:p>
      <w:pPr>
        <w:pStyle w:val="TextBody"/>
        <w:bidi w:val="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319"/>
        <w:gridCol w:w="8528"/>
      </w:tblGrid>
      <w:tr>
        <w:trPr/>
        <w:tc>
          <w:tcPr>
            <w:tcW w:w="35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pPr>
            <w:r>
              <w:rPr/>
              <w:t>3</w:t>
            </w:r>
          </w:p>
        </w:tc>
        <w:tc>
          <w:tcPr>
            <w:tcW w:w="8528" w:type="dxa"/>
            <w:tcBorders/>
            <w:vAlign w:val="center"/>
          </w:tcPr>
          <w:p>
            <w:pPr>
              <w:pStyle w:val="TableContents"/>
              <w:bidi w:val="0"/>
              <w:spacing w:before="0" w:after="283"/>
              <w:jc w:val="both"/>
              <w:rPr/>
            </w:pPr>
            <w:r>
              <w:rPr/>
              <w:t>Opinions</w:t>
            </w:r>
          </w:p>
        </w:tc>
      </w:tr>
    </w:tbl>
    <w:p>
      <w:pPr>
        <w:pStyle w:val="TextBody"/>
        <w:bidi w:val="0"/>
        <w:ind w:left="709"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3 and the limitations set forth below, we are of the opinion that:</w:t>
      </w:r>
    </w:p>
    <w:p>
      <w:pPr>
        <w:pStyle w:val="TextBody"/>
        <w:bidi w:val="0"/>
        <w:ind w:left="709" w:right="0" w:hanging="0"/>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 xml:space="preserve">The Company has been duly incorporated as an exempted company with limited liability and is validly existing and in good standing with the Registrar of Companies of the Cayman Islands (the </w:t>
            </w:r>
            <w:r>
              <w:rPr>
                <w:b/>
              </w:rPr>
              <w:t>Registrar</w:t>
            </w:r>
            <w:r>
              <w:rPr/>
              <w:t>).</w:t>
            </w:r>
          </w:p>
        </w:tc>
      </w:tr>
    </w:tbl>
    <w:p>
      <w:pPr>
        <w:pStyle w:val="TextBody"/>
        <w:bidi w:val="0"/>
        <w:ind w:left="1418"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power</w:t>
      </w:r>
    </w:p>
    <w:p>
      <w:pPr>
        <w:pStyle w:val="TextBody"/>
        <w:bidi w:val="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The Company has all requisite power under its Memorandum and Articles of Association to issue the Shares, to execute and deliver the Documents and to perform its obligations, and exercise its rights, under such documents.</w:t>
            </w:r>
          </w:p>
        </w:tc>
      </w:tr>
    </w:tbl>
    <w:p>
      <w:pPr>
        <w:pStyle w:val="TextBody"/>
        <w:bidi w:val="0"/>
        <w:ind w:left="1418"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283"/>
              <w:jc w:val="both"/>
              <w:rPr/>
            </w:pPr>
            <w:r>
              <w:rPr/>
              <w:t>The Shares to be offered and issued by the Company as contemplated by the Prospectus Supplement, when issued by the Company:</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43"/>
        <w:gridCol w:w="9923"/>
      </w:tblGrid>
      <w:tr>
        <w:trPr/>
        <w:tc>
          <w:tcPr>
            <w:tcW w:w="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w:t>
            </w:r>
          </w:p>
        </w:tc>
        <w:tc>
          <w:tcPr>
            <w:tcW w:w="9923" w:type="dxa"/>
            <w:tcBorders/>
            <w:vAlign w:val="center"/>
          </w:tcPr>
          <w:p>
            <w:pPr>
              <w:pStyle w:val="TableContents"/>
              <w:bidi w:val="0"/>
              <w:spacing w:before="0" w:after="283"/>
              <w:jc w:val="both"/>
              <w:rPr/>
            </w:pPr>
            <w:r>
              <w:rPr/>
              <w:t>in accordance with the Documents, Resolutions and Memorandum and Articles of Association; and</w:t>
            </w:r>
          </w:p>
        </w:tc>
      </w:tr>
    </w:tbl>
    <w:p>
      <w:pPr>
        <w:pStyle w:val="TextBody"/>
        <w:bidi w:val="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upon payment in full of the consideration as set out in the Documents and the entry of those Shares as fully paid in the register of members of the Company,</w:t>
            </w:r>
          </w:p>
        </w:tc>
      </w:tr>
    </w:tbl>
    <w:p>
      <w:pPr>
        <w:pStyle w:val="TextBody"/>
        <w:bidi w:val="0"/>
        <w:ind w:left="2126" w:right="0" w:hanging="708"/>
        <w:jc w:val="both"/>
        <w:rPr>
          <w:caps w:val="false"/>
          <w:smallCaps w:val="false"/>
        </w:rPr>
      </w:pPr>
      <w:r>
        <w:rPr>
          <w:caps w:val="false"/>
          <w:smallCaps w:val="false"/>
        </w:rPr>
        <w:t> </w:t>
      </w:r>
    </w:p>
    <w:p>
      <w:pPr>
        <w:pStyle w:val="TextBody"/>
        <w:bidi w:val="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w:t>
      </w:r>
    </w:p>
    <w:p>
      <w:pPr>
        <w:pStyle w:val="TextBody"/>
        <w:bidi w:val="0"/>
        <w:ind w:left="1418" w:right="0" w:hanging="0"/>
        <w:jc w:val="both"/>
        <w:rPr>
          <w:caps w:val="false"/>
          <w:smallCaps w:val="false"/>
        </w:rPr>
      </w:pPr>
      <w:r>
        <w:rPr>
          <w:caps w:val="false"/>
          <w:smallCaps w:val="false"/>
        </w:rPr>
        <w:t> </w:t>
      </w:r>
    </w:p>
    <w:p>
      <w:pPr>
        <w:pStyle w:val="TextBody"/>
        <w:bidi w:val="0"/>
        <w:spacing w:before="0" w:after="0"/>
        <w:ind w:left="1418" w:right="0" w:hanging="0"/>
        <w:jc w:val="center"/>
        <w:rPr>
          <w:bdr w:val="single" w:sz="16" w:space="1" w:color="000000"/>
        </w:rPr>
      </w:pPr>
      <w:r>
        <w:rPr>
          <w:bdr w:val="single" w:sz="16" w:space="1" w:color="000000"/>
        </w:rPr>
        <w:t>2</w:t>
      </w:r>
    </w:p>
    <w:p>
      <w:pPr>
        <w:pStyle w:val="TextBody"/>
        <w:bidi w:val="0"/>
        <w:spacing w:before="0" w:after="0"/>
        <w:ind w:left="0" w:right="0" w:hanging="0"/>
        <w:jc w:val="left"/>
        <w:rPr/>
      </w:pPr>
      <w:r>
        <w:rPr/>
        <w:t> </w:t>
      </w:r>
    </w:p>
    <w:p>
      <w:pPr>
        <w:pStyle w:val="TextBody"/>
        <w:bidi w:val="0"/>
        <w:ind w:left="1418" w:right="0" w:hanging="0"/>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684"/>
        <w:gridCol w:w="9336"/>
      </w:tblGrid>
      <w:tr>
        <w:trPr/>
        <w:tc>
          <w:tcPr>
            <w:tcW w:w="18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4</w:t>
            </w:r>
          </w:p>
        </w:tc>
        <w:tc>
          <w:tcPr>
            <w:tcW w:w="9336" w:type="dxa"/>
            <w:tcBorders/>
            <w:vAlign w:val="center"/>
          </w:tcPr>
          <w:p>
            <w:pPr>
              <w:pStyle w:val="TableContents"/>
              <w:bidi w:val="0"/>
              <w:spacing w:before="0" w:after="283"/>
              <w:jc w:val="both"/>
              <w:rPr/>
            </w:pPr>
            <w:r>
              <w:rPr/>
              <w:t>Matters not covered</w:t>
            </w:r>
          </w:p>
        </w:tc>
      </w:tr>
    </w:tbl>
    <w:p>
      <w:pPr>
        <w:pStyle w:val="TextBody"/>
        <w:bidi w:val="0"/>
        <w:ind w:left="709" w:right="0" w:hanging="709"/>
        <w:jc w:val="both"/>
        <w:rPr>
          <w:caps w:val="false"/>
          <w:smallCaps w:val="false"/>
        </w:rPr>
      </w:pPr>
      <w:r>
        <w:rPr>
          <w:caps w:val="false"/>
          <w:smallCaps w:val="false"/>
        </w:rPr>
        <w:t> </w:t>
      </w:r>
    </w:p>
    <w:p>
      <w:pPr>
        <w:pStyle w:val="TextBody"/>
        <w:bidi w:val="0"/>
        <w:ind w:left="1418" w:right="0" w:hanging="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as to whether the acceptance, execution or performance of the Company’s obligations under the documents reviewed by us will result in the breach of or infringe any other agreement, deed or document (other than, to the extent expressly provided herein, the Memorandum and Articles of Association) entered into by or binding on the Company.</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466"/>
        <w:gridCol w:w="9613"/>
      </w:tblGrid>
      <w:tr>
        <w:trPr/>
        <w:tc>
          <w:tcPr>
            <w:tcW w:w="1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5</w:t>
            </w:r>
          </w:p>
        </w:tc>
        <w:tc>
          <w:tcPr>
            <w:tcW w:w="9613" w:type="dxa"/>
            <w:tcBorders/>
            <w:vAlign w:val="center"/>
          </w:tcPr>
          <w:p>
            <w:pPr>
              <w:pStyle w:val="TableContents"/>
              <w:bidi w:val="0"/>
              <w:spacing w:before="0" w:after="283"/>
              <w:jc w:val="both"/>
              <w:rPr/>
            </w:pPr>
            <w:r>
              <w:rPr/>
              <w:t>Governing law of this opinion</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752"/>
        <w:gridCol w:w="8245"/>
      </w:tblGrid>
      <w:tr>
        <w:trPr/>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pPr>
            <w:r>
              <w:rPr/>
              <w:t>5.1</w:t>
            </w:r>
          </w:p>
        </w:tc>
        <w:tc>
          <w:tcPr>
            <w:tcW w:w="8245" w:type="dxa"/>
            <w:tcBorders/>
            <w:vAlign w:val="center"/>
          </w:tcPr>
          <w:p>
            <w:pPr>
              <w:pStyle w:val="TableContents"/>
              <w:bidi w:val="0"/>
              <w:spacing w:before="0" w:after="283"/>
              <w:jc w:val="both"/>
              <w:rPr/>
            </w:pPr>
            <w:r>
              <w:rPr/>
              <w:t>This opinion is: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1"/>
        <w:gridCol w:w="9840"/>
      </w:tblGrid>
      <w:tr>
        <w:trPr/>
        <w:tc>
          <w:tcPr>
            <w:tcW w:w="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(a)</w:t>
            </w:r>
          </w:p>
        </w:tc>
        <w:tc>
          <w:tcPr>
            <w:tcW w:w="984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22"/>
        <w:gridCol w:w="9502"/>
      </w:tblGrid>
      <w:tr>
        <w:trPr/>
        <w:tc>
          <w:tcPr>
            <w:tcW w:w="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pPr>
            <w:r>
              <w:rPr/>
              <w:t>(b)</w:t>
            </w:r>
          </w:p>
        </w:tc>
        <w:tc>
          <w:tcPr>
            <w:tcW w:w="9502" w:type="dxa"/>
            <w:tcBorders/>
            <w:vAlign w:val="center"/>
          </w:tcPr>
          <w:p>
            <w:pPr>
              <w:pStyle w:val="TableContents"/>
              <w:bidi w:val="0"/>
              <w:spacing w:before="0" w:after="283"/>
              <w:jc w:val="both"/>
              <w:rPr/>
            </w:pPr>
            <w:r>
              <w:rPr/>
              <w:t>limited to the matters expressly stated in it; and</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0"/>
        <w:gridCol w:w="1439"/>
        <w:gridCol w:w="8376"/>
      </w:tblGrid>
      <w:tr>
        <w:trPr/>
        <w:tc>
          <w:tcPr>
            <w:tcW w:w="39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pPr>
            <w:r>
              <w:rPr/>
              <w:t>6</w:t>
            </w:r>
          </w:p>
        </w:tc>
        <w:tc>
          <w:tcPr>
            <w:tcW w:w="8376" w:type="dxa"/>
            <w:tcBorders/>
            <w:vAlign w:val="center"/>
          </w:tcPr>
          <w:p>
            <w:pPr>
              <w:pStyle w:val="TableContents"/>
              <w:bidi w:val="0"/>
              <w:spacing w:before="0" w:after="283"/>
              <w:jc w:val="both"/>
              <w:rPr/>
            </w:pPr>
            <w:r>
              <w:rPr/>
              <w:t>Consent</w:t>
            </w:r>
          </w:p>
        </w:tc>
      </w:tr>
    </w:tbl>
    <w:p>
      <w:pPr>
        <w:pStyle w:val="TextBody"/>
        <w:bidi w:val="0"/>
        <w:ind w:left="709"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to you for submission to the Commission as an exhibit to the Company’s Report of Foreign Private Issuer on Form 6-K relating to the Shares (the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which is incorporated by reference in the Registration Statement. We hereby consent to the filing of this opinion as an exhibit to the Form 6-K and its incorporation by reference and the reference to this firm in the Registration Statement under the heading “Legal Matters”. In the giving of our consent, we do not thereby admit that we are in the category of persons whose consent is required under Section 7 of the Act or the Rules and Regulations of the Commission thereunder.</w:t>
      </w:r>
    </w:p>
    <w:p>
      <w:pPr>
        <w:pStyle w:val="TextBody"/>
        <w:bidi w:val="0"/>
        <w:ind w:left="709"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Ogier (Cayman) LLP</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 (Cayman) LLP</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ind w:left="0" w:right="0" w:hanging="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 - Corporate and other documents</w:t>
      </w:r>
    </w:p>
    <w:p>
      <w:pPr>
        <w:pStyle w:val="TextBody"/>
        <w:bidi w:val="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 xml:space="preserve">The Certificate of Incorporation of the Company dated 11 May 2022 issued by the Registrar (the </w:t>
            </w:r>
            <w:r>
              <w:rPr>
                <w:b/>
              </w:rPr>
              <w:t>Certificate of Incorporation</w:t>
            </w:r>
            <w:r>
              <w:rPr/>
              <w:t>).</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 xml:space="preserve">The amended and restated memorandum of association of the Company adopted by special resolution passed on 6 March 2026 (the </w:t>
            </w:r>
            <w:r>
              <w:rPr>
                <w:b/>
              </w:rPr>
              <w:t>Memorandum</w:t>
            </w:r>
            <w:r>
              <w:rPr/>
              <w:t>).</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 xml:space="preserve">The amended and restated articles of association of the Company adopted by special resolution passed on 6 March 2026 (the </w:t>
            </w:r>
            <w:r>
              <w:rPr>
                <w:b/>
              </w:rPr>
              <w:t>Articles of Association</w:t>
            </w:r>
            <w:r>
              <w:rPr/>
              <w:t>).</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 xml:space="preserve">A Certificate of Good Standing dated 14 July 2026 (the </w:t>
            </w:r>
            <w:r>
              <w:rPr>
                <w:b/>
              </w:rPr>
              <w:t>Good Standing Certificate</w:t>
            </w:r>
            <w:r>
              <w:rPr/>
              <w:t>) issued by the Registrar in respect of the Company.</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 xml:space="preserve">A certificate dated on the date hereof as to certain matters of fact signed by a director of the Company in the form annexed hereto (the </w:t>
            </w:r>
            <w:r>
              <w:rPr>
                <w:b/>
              </w:rPr>
              <w:t>Director’s Certificate</w:t>
            </w:r>
            <w:r>
              <w:rPr/>
              <w:t xml:space="preserve">), having attached to it a copy of the written resolutions of the directors of the Company passed on 14 July 2026 (the </w:t>
            </w:r>
            <w:r>
              <w:rPr>
                <w:b/>
              </w:rPr>
              <w:t>Resolutions</w:t>
            </w:r>
            <w:r>
              <w:rPr/>
              <w:t>).</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 xml:space="preserve">The Register of Writs maintained by the office of the Clerk of Courts in the Cayman Islands as inspected by us on 31 July 2026 (the </w:t>
            </w:r>
            <w:r>
              <w:rPr>
                <w:b/>
              </w:rPr>
              <w:t>Register of Writs</w:t>
            </w:r>
            <w:r>
              <w:rPr/>
              <w:t>).</w:t>
            </w:r>
          </w:p>
        </w:tc>
      </w:tr>
    </w:tbl>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 – The Documents</w:t>
      </w:r>
    </w:p>
    <w:p>
      <w:pPr>
        <w:pStyle w:val="TextBody"/>
        <w:bidi w:val="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491"/>
        <w:gridCol w:w="9582"/>
      </w:tblGrid>
      <w:tr>
        <w:trPr/>
        <w:tc>
          <w:tcPr>
            <w:tcW w:w="13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pPr>
            <w:r>
              <w:rPr/>
              <w:t>7</w:t>
            </w:r>
          </w:p>
        </w:tc>
        <w:tc>
          <w:tcPr>
            <w:tcW w:w="9582" w:type="dxa"/>
            <w:tcBorders/>
            <w:vAlign w:val="center"/>
          </w:tcPr>
          <w:p>
            <w:pPr>
              <w:pStyle w:val="TableContents"/>
              <w:bidi w:val="0"/>
              <w:spacing w:before="0" w:after="283"/>
              <w:jc w:val="both"/>
              <w:rPr/>
            </w:pPr>
            <w:r>
              <w:rPr/>
              <w:t>The Prospectus Supplement.</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 xml:space="preserve">The form of sales agreement between the Company and Chaince Securities, LLC relating to the offer, sale and issuance of the Shares (the </w:t>
            </w:r>
            <w:r>
              <w:rPr>
                <w:b/>
              </w:rPr>
              <w:t>ATM Agreement</w:t>
            </w:r>
            <w:r>
              <w:rPr/>
              <w:t>).</w:t>
            </w:r>
          </w:p>
        </w:tc>
      </w:tr>
    </w:tbl>
    <w:p>
      <w:pPr>
        <w:pStyle w:val="TextBody"/>
        <w:bidi w:val="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bdr w:val="single" w:sz="16" w:space="1" w:color="000000"/>
        </w:rPr>
      </w:pPr>
      <w:r>
        <w:rPr>
          <w:bdr w:val="single" w:sz="16" w:space="1" w:color="000000"/>
        </w:rPr>
        <w:t>4</w:t>
      </w:r>
    </w:p>
    <w:p>
      <w:pPr>
        <w:pStyle w:val="TextBody"/>
        <w:bidi w:val="0"/>
        <w:spacing w:before="0" w:after="0"/>
        <w:ind w:left="0" w:right="0" w:hanging="0"/>
        <w:jc w:val="left"/>
        <w:rPr/>
      </w:pPr>
      <w:r>
        <w:rPr/>
        <w:t> </w:t>
      </w:r>
    </w:p>
    <w:p>
      <w:pPr>
        <w:pStyle w:val="TextBody"/>
        <w:bidi w:val="0"/>
        <w:ind w:left="709" w:right="0" w:hanging="709"/>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ind w:left="0" w:right="0" w:hanging="0"/>
        <w:jc w:val="center"/>
        <w:rPr>
          <w:caps/>
        </w:rPr>
      </w:pPr>
      <w:r>
        <w:rPr>
          <w:caps/>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jc w:val="center"/>
        <w:rPr>
          <w:caps w:val="false"/>
          <w:smallCaps w:val="false"/>
        </w:rPr>
      </w:pPr>
      <w:r>
        <w:rPr>
          <w:caps w:val="false"/>
          <w:smallCaps w:val="false"/>
        </w:rPr>
        <w:t> </w:t>
      </w:r>
    </w:p>
    <w:p>
      <w:pPr>
        <w:pStyle w:val="TextBody"/>
        <w:bidi w:val="0"/>
        <w:ind w:left="709"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of general application</w:t>
      </w:r>
    </w:p>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17"/>
        <w:gridCol w:w="9929"/>
      </w:tblGrid>
      <w:tr>
        <w:trPr/>
        <w:tc>
          <w:tcPr>
            <w:tcW w:w="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All copy documents examined by us (whether in facsimile, electronic or other form) conform to the originals and those originals are authentic and complete.</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44"/>
        <w:gridCol w:w="10022"/>
      </w:tblGrid>
      <w:tr>
        <w:trPr/>
        <w:tc>
          <w:tcPr>
            <w:tcW w:w="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Each of the Good Standing Certificate and the Director’s Certificate is accurate and complete as at the date of this opinion.</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Where any Document has been provided to us in draft or undated form, that Document has been executed by all parties in materially the form provided to us and, where we have been provided with successive drafts of a Document marked to show changes from a previous draft, all such changes have been accurately marked.</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hd w:fill="BFBFBF" w:val="clear"/>
              </w:rPr>
            </w:pPr>
            <w:r>
              <w:rPr>
                <w:shd w:fill="BFBFBF" w:val="clear"/>
              </w:rPr>
              <w:t>6</w:t>
            </w:r>
          </w:p>
        </w:tc>
        <w:tc>
          <w:tcPr>
            <w:tcW w:w="10028" w:type="dxa"/>
            <w:tcBorders/>
            <w:vAlign w:val="center"/>
          </w:tcPr>
          <w:p>
            <w:pPr>
              <w:pStyle w:val="TableContents"/>
              <w:bidi w:val="0"/>
              <w:spacing w:before="0" w:after="283"/>
              <w:jc w:val="both"/>
              <w:rPr/>
            </w:pPr>
            <w:r>
              <w:rPr/>
              <w:t>There will be no intervening circumstance relevant to this opinion between the date hereof and the date upon which the Shares are issued.</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There is nothing in any law (other than the laws of the Cayman Islands) that would or might affect the opinions herein.</w:t>
            </w:r>
          </w:p>
        </w:tc>
      </w:tr>
    </w:tbl>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authorisation and execution</w:t>
      </w:r>
    </w:p>
    <w:p>
      <w:pPr>
        <w:pStyle w:val="TextBody"/>
        <w:bidi w:val="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Each of the parties to the Documents other than the Company shall be duly incorporated, formed or organised (as applicable), validly existing and in good standing under all relevant laws.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Each Document has been duly authorised, executed and unconditionally delivered by or on behalf of all parties to it (other than the Company) in accordance with all applicable laws and, in respect of the Company, in the manner authorised by the Board.</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8" w:type="dxa"/>
            <w:tcBorders/>
            <w:vAlign w:val="center"/>
          </w:tcPr>
          <w:p>
            <w:pPr>
              <w:pStyle w:val="TableContents"/>
              <w:bidi w:val="0"/>
              <w:spacing w:before="0" w:after="283"/>
              <w:jc w:val="both"/>
              <w:rPr/>
            </w:pPr>
            <w:r>
              <w:rPr/>
              <w:t>Each Document that has not been executed as of the date of this opinion will be duly executed and unconditionally delivered by the Company in the manner authorised by the Board.</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8" w:type="dxa"/>
            <w:tcBorders/>
            <w:vAlign w:val="center"/>
          </w:tcPr>
          <w:p>
            <w:pPr>
              <w:pStyle w:val="TableContents"/>
              <w:bidi w:val="0"/>
              <w:spacing w:before="0" w:after="283"/>
              <w:jc w:val="both"/>
              <w:rPr/>
            </w:pPr>
            <w:r>
              <w:rPr/>
              <w:t>In authorising the execution and delivery of the Documents by the Company, the issue and allotment of the Shares, and the exercise of its rights and performance of its obligations under the Documents, each of the directors of the Company has acted in good faith with a view to the best interests of the Company and has exercised the standard of care, diligence and skill that is required of him or her.</w:t>
            </w:r>
          </w:p>
        </w:tc>
      </w:tr>
    </w:tbl>
    <w:p>
      <w:pPr>
        <w:pStyle w:val="TextBody"/>
        <w:bidi w:val="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bdr w:val="single" w:sz="16" w:space="1" w:color="000000"/>
        </w:rPr>
      </w:pPr>
      <w:r>
        <w:rPr>
          <w:bdr w:val="single" w:sz="16" w:space="1" w:color="000000"/>
        </w:rPr>
        <w:t>5</w:t>
      </w:r>
    </w:p>
    <w:p>
      <w:pPr>
        <w:pStyle w:val="TextBody"/>
        <w:bidi w:val="0"/>
        <w:spacing w:before="0" w:after="0"/>
        <w:ind w:left="0" w:right="0" w:hanging="0"/>
        <w:jc w:val="left"/>
        <w:rPr/>
      </w:pPr>
      <w:r>
        <w:rPr/>
        <w:t> </w:t>
      </w:r>
    </w:p>
    <w:p>
      <w:pPr>
        <w:pStyle w:val="TextBody"/>
        <w:bidi w:val="0"/>
        <w:ind w:left="709" w:right="0" w:hanging="709"/>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w:t>
      </w:r>
    </w:p>
    <w:p>
      <w:pPr>
        <w:pStyle w:val="TextBody"/>
        <w:bidi w:val="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12</w:t>
            </w:r>
          </w:p>
        </w:tc>
        <w:tc>
          <w:tcPr>
            <w:tcW w:w="9908"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Cayman Islands. In particular, but without limitation to the previous sentence:</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laws or public policies of any jurisdiction other than the Cayman Islands will not adversely affect the capacity or authority of the Company; and</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neither the execution or delivery of the Documents nor the exercise by any party to the Documents of its rights or the performance of its obligations under them contravene those laws or public policies.</w:t>
            </w:r>
          </w:p>
        </w:tc>
      </w:tr>
    </w:tbl>
    <w:p>
      <w:pPr>
        <w:pStyle w:val="TextBody"/>
        <w:bidi w:val="0"/>
        <w:ind w:left="1418" w:right="0" w:hanging="709"/>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w:t>
      </w:r>
    </w:p>
    <w:p>
      <w:pPr>
        <w:pStyle w:val="TextBody"/>
        <w:bidi w:val="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02"/>
        <w:gridCol w:w="9859"/>
      </w:tblGrid>
      <w:tr>
        <w:trPr/>
        <w:tc>
          <w:tcPr>
            <w:tcW w:w="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13</w:t>
            </w:r>
          </w:p>
        </w:tc>
        <w:tc>
          <w:tcPr>
            <w:tcW w:w="9859" w:type="dxa"/>
            <w:tcBorders/>
            <w:vAlign w:val="center"/>
          </w:tcPr>
          <w:p>
            <w:pPr>
              <w:pStyle w:val="TableContents"/>
              <w:bidi w:val="0"/>
              <w:spacing w:before="0" w:after="283"/>
              <w:jc w:val="both"/>
              <w:rPr/>
            </w:pPr>
            <w:r>
              <w:rPr/>
              <w:t>The Shares to be issued shall be issued at an issue price in excess of the par value thereof.</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14</w:t>
            </w:r>
          </w:p>
        </w:tc>
        <w:tc>
          <w:tcPr>
            <w:tcW w:w="9908" w:type="dxa"/>
            <w:tcBorders/>
            <w:vAlign w:val="center"/>
          </w:tcPr>
          <w:p>
            <w:pPr>
              <w:pStyle w:val="TableContents"/>
              <w:bidi w:val="0"/>
              <w:spacing w:before="0" w:after="283"/>
              <w:jc w:val="both"/>
              <w:rPr/>
            </w:pPr>
            <w:r>
              <w:rPr/>
              <w:t>All documents, notices, certificates and other instruments required to be delivered under the ATM Agreement in connection with the issuance of the Shares (including, without limitation, all Placement Notices (as defined in the ATM Agreement)) have been duly and properly delivered in accordance with the ATM Agreement and the Resolutions.</w:t>
            </w:r>
          </w:p>
        </w:tc>
      </w:tr>
    </w:tbl>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15</w:t>
            </w:r>
          </w:p>
        </w:tc>
        <w:tc>
          <w:tcPr>
            <w:tcW w:w="9908" w:type="dxa"/>
            <w:tcBorders/>
            <w:vAlign w:val="center"/>
          </w:tcPr>
          <w:p>
            <w:pPr>
              <w:pStyle w:val="TableContents"/>
              <w:bidi w:val="0"/>
              <w:spacing w:before="0" w:after="283"/>
              <w:jc w:val="both"/>
              <w:rPr/>
            </w:pPr>
            <w:r>
              <w:rPr/>
              <w:t>The Register of Writs constitutes a complete and accurate record of the proceedings affecting the Company before the Grand Court of the Cayman Islands as at the time we conducted our investigation of such register.</w:t>
            </w:r>
          </w:p>
        </w:tc>
      </w:tr>
    </w:tbl>
    <w:p>
      <w:pPr>
        <w:pStyle w:val="TextBody"/>
        <w:bidi w:val="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bdr w:val="single" w:sz="16" w:space="1" w:color="000000"/>
        </w:rPr>
      </w:pPr>
      <w:r>
        <w:rPr>
          <w:bdr w:val="single" w:sz="16" w:space="1" w:color="000000"/>
        </w:rPr>
        <w:t>6</w:t>
      </w:r>
    </w:p>
    <w:p>
      <w:pPr>
        <w:pStyle w:val="TextBody"/>
        <w:bidi w:val="0"/>
        <w:spacing w:before="0" w:after="0"/>
        <w:ind w:left="0" w:right="0" w:hanging="0"/>
        <w:jc w:val="left"/>
        <w:rPr/>
      </w:pPr>
      <w:r>
        <w:rPr/>
        <w:t> </w:t>
      </w:r>
    </w:p>
    <w:p>
      <w:pPr>
        <w:pStyle w:val="TextBody"/>
        <w:bidi w:val="0"/>
        <w:ind w:left="709" w:right="0" w:hanging="709"/>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ind w:left="0" w:right="0" w:hanging="0"/>
        <w:jc w:val="center"/>
        <w:rPr>
          <w:caps/>
        </w:rPr>
      </w:pPr>
      <w:r>
        <w:rPr>
          <w:caps/>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Under the Companies Act (Revised) of the Cayman Islands (</w:t>
            </w:r>
            <w:r>
              <w:rPr>
                <w:b/>
              </w:rPr>
              <w:t>Companies Act</w:t>
            </w:r>
            <w:r>
              <w:rPr/>
              <w: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b/>
              </w:rPr>
              <w:t>In good standing</w:t>
            </w:r>
            <w:r>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ind w:left="709" w:right="0" w:hanging="709"/>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and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In this opinion, the phrase “non-assessable” means, with respect to the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ind w:left="709" w:right="0" w:hanging="709"/>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61"/>
        <w:gridCol w:w="10001"/>
      </w:tblGrid>
      <w:tr>
        <w:trPr/>
        <w:tc>
          <w:tcPr>
            <w:tcW w:w="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1" w:type="dxa"/>
            <w:tcBorders/>
            <w:vAlign w:val="center"/>
          </w:tcPr>
          <w:p>
            <w:pPr>
              <w:pStyle w:val="TableContents"/>
              <w:bidi w:val="0"/>
              <w:spacing w:before="0" w:after="283"/>
              <w:jc w:val="both"/>
              <w:rPr/>
            </w:pPr>
            <w:r>
              <w:rPr/>
              <w:t>Our examination of the Register of Writs cannot conclusively reveal whether or not there is: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55"/>
        <w:gridCol w:w="9802"/>
      </w:tblGrid>
      <w:tr>
        <w:trPr/>
        <w:tc>
          <w:tcPr>
            <w:tcW w:w="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(a)</w:t>
            </w:r>
          </w:p>
        </w:tc>
        <w:tc>
          <w:tcPr>
            <w:tcW w:w="9802" w:type="dxa"/>
            <w:tcBorders/>
            <w:vAlign w:val="center"/>
          </w:tcPr>
          <w:p>
            <w:pPr>
              <w:pStyle w:val="TableContents"/>
              <w:bidi w:val="0"/>
              <w:spacing w:before="0" w:after="283"/>
              <w:jc w:val="both"/>
              <w:rPr/>
            </w:pPr>
            <w:r>
              <w:rPr/>
              <w:t>any current or pending litigation in the Cayman Islands against the Company; or</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any application for the winding up or dissolution of the Company or the appointment of any liquidator, trustee in bankruptcy or restructuring officer in respect of the Company or any of its assets,</w:t>
            </w:r>
          </w:p>
        </w:tc>
      </w:tr>
    </w:tbl>
    <w:p>
      <w:pPr>
        <w:pStyle w:val="TextBody"/>
        <w:bidi w:val="0"/>
        <w:ind w:left="1418"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pStyle w:val="TextBody"/>
        <w:bidi w:val="0"/>
        <w:ind w:left="709"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spacing w:before="60" w:after="60"/>
        <w:jc w:val="left"/>
        <w:rPr>
          <w:bdr w:val="single" w:sz="16" w:space="1" w:color="000000"/>
        </w:rPr>
      </w:pPr>
      <w:r>
        <w:rPr>
          <w:bdr w:val="single" w:sz="16" w:space="1" w:color="000000"/>
        </w:rPr>
        <w:t> </w:t>
      </w:r>
    </w:p>
    <w:p>
      <w:pPr>
        <w:pStyle w:val="TextBody"/>
        <w:bidi w:val="0"/>
        <w:spacing w:before="200" w:after="60"/>
        <w:jc w:val="left"/>
        <w:rPr>
          <w:bdr w:val="single" w:sz="16" w:space="1" w:color="000000"/>
        </w:rPr>
      </w:pPr>
      <w:bookmarkStart w:id="4" w:name="e7804_ex10-1.htm"/>
      <w:bookmarkStart w:id="5" w:name="kse7804_ex101"/>
      <w:bookmarkEnd w:id="4"/>
      <w:bookmarkEnd w:id="5"/>
      <w:r>
        <w:rPr>
          <w:bdr w:val="single" w:sz="16" w:space="1" w:color="000000"/>
        </w:rPr>
        <w:t> </w:t>
      </w:r>
      <w:r>
        <w:br w:type="page"/>
      </w:r>
    </w:p>
    <w:p>
      <w:pPr>
        <w:pStyle w:val="TextBody"/>
        <w:bidi w:val="0"/>
        <w:spacing w:before="0" w:after="283"/>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283"/>
        <w:jc w:val="left"/>
        <w:rPr/>
      </w:pPr>
      <w:r>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and Confidential</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Market Sales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 US$ 0.000016666667 per share)</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Chaince Securities, LLC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41st Floor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an exempted company incorporated in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Chaince Securities, LLC (“</w:t>
      </w:r>
      <w:r>
        <w:rPr>
          <w:rFonts w:ascii="Times New Roman;Times;Serif" w:hAnsi="Times New Roman;Times;Serif"/>
          <w:b w:val="false"/>
          <w:i w:val="false"/>
          <w:caps w:val="false"/>
          <w:smallCaps w:val="false"/>
          <w:sz w:val="20"/>
          <w:u w:val="single"/>
        </w:rPr>
        <w:t>Chaince,</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or to the Agent, as sales agent or principal, the Company’s Class A ordinary shares, par value US$0.000016666667 per share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such Ordinary Shares issued or sold herein, the “</w:t>
      </w:r>
      <w:r>
        <w:rPr>
          <w:rFonts w:ascii="Times New Roman;Times;Serif" w:hAnsi="Times New Roman;Times;Serif"/>
          <w:b w:val="false"/>
          <w:i w:val="false"/>
          <w:caps w:val="false"/>
          <w:smallCaps w:val="false"/>
          <w:sz w:val="20"/>
          <w:u w:val="single"/>
        </w:rPr>
        <w:t>Placement Shares</w:t>
      </w:r>
      <w:r>
        <w:rPr>
          <w:rFonts w:ascii="Times New Roman;Times;Serif" w:hAnsi="Times New Roman;Times;Serif"/>
          <w:b w:val="false"/>
          <w:i w:val="false"/>
          <w:caps w:val="false"/>
          <w:smallCaps w:val="false"/>
          <w:sz w:val="20"/>
        </w:rPr>
        <w:t>” and such offering and sale transaction, the “</w:t>
      </w:r>
      <w:r>
        <w:rPr>
          <w:rFonts w:ascii="Times New Roman;Times;Serif" w:hAnsi="Times New Roman;Times;Serif"/>
          <w:b w:val="false"/>
          <w:i w:val="false"/>
          <w:caps w:val="false"/>
          <w:smallCaps w:val="false"/>
          <w:sz w:val="20"/>
          <w:u w:val="single"/>
        </w:rPr>
        <w:t>ATM Program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in no event shall the Company issue or sell through the Agent such number of Placement Shares that (a) exceeds the number of shares or dollar amount of Ordinary Shares registered on the effective Registration Statement (as defined below) pursuant to which the offering is being made, (b) exceeds the number of shares or dollar amount registered on the Prospectus Supplement (as defined below) or (c) the number or dollar amount of Ordinary Shares that would cause the Company or the offering of the Ordinary Shares to not satisfy the eligibility and transaction requirements for use of Form F-3, including, if applicable, General Instruction I.B.5 of Form F-3 (the lesser of (a), (b) and (c),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provided further, however,</w:t>
      </w:r>
      <w:r>
        <w:rPr>
          <w:rFonts w:ascii="Times New Roman;Times;Serif" w:hAnsi="Times New Roman;Times;Serif"/>
          <w:b w:val="false"/>
          <w:i w:val="false"/>
          <w:caps w:val="false"/>
          <w:smallCaps w:val="false"/>
          <w:sz w:val="20"/>
        </w:rPr>
        <w:t xml:space="preserve"> that in no event shall the aggregate number of Placement Shares sold pursuant to this Agreement exceed the number of authorized but unissued Ordinary Shares (less Ordinary Shares issuable upon exercise, conversion or exchange of any outstanding securities of the Company or otherwise reserved from the Company’s authorized share capital) in the Company’s authorized share capital. Notwithstanding anything to the contrary contained herein, the parties hereto agree that compliance with the limitations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on the number of Placement Shares issued and sold under this Agreement shall be the sole responsibility of the Company and that the Agent shall have no obligation in connection with such compliance. The issuance and sale of Placement Shares through the Agent will be effected pursuant to the Registration Statement, although nothing in this Agreement shall be construed as requiring the Company to use the Registration Statement to issue any Placement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in accordance with the provisions of the Securities Act of 1933, as amended, and the rules and regulations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registration statement on Form F-3 (File No. 333-293519), including a base prospectus, relating to certain securities, including the Ordinary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supplement specifically relating to the Placement Shares to be issued from time to time pursuant to this Agreement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to the base prospectus included as part of such registration statement. The Company will furnish to the Agent, for use by the Agent, copies of the base prospectus included as part of such registration statement at the time it becomes effective, as supplemented by the Prospectus Supplement.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F-3 filed pursuant to Rule 415 under the Securities Act by the Company to cover any Placement Shares, is herein called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base prospectus, including all documents incorporated or deemed incorporated therein by reference to the extent such information has not been superseded or modified in accordance with Rule 412 under the Securities Act (as qualified</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by Rule 430B(g) of the Securities Act),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Supplement, the Prospectus or any issuer free writing prospectus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incorporated by reference therein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including, unless the context otherwise requires, the documents, if any, filed as exhibits to such Incorporated Documents.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Placement Shares hereunder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it will notify the Agent by electronic mail (or other method mutually agreed to in writing by the Company and the Agent) of the number or dollar value of Placement Shares to be issued, the time period during which sales are requested to be made, any limitation on the number of Placement Shares that may be sold in any one Trading Day (as defined below) and any minimum price below which sales may not be made (a “</w:t>
      </w:r>
      <w:r>
        <w:rPr>
          <w:rFonts w:ascii="Times New Roman;Times;Serif" w:hAnsi="Times New Roman;Times;Serif"/>
          <w:b w:val="false"/>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the form of which is attached hereto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(with a copy to each of the other individuals from the Company listed on such schedule), and shall be addressed to each of the individuals from the Agent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may be amended from time to time in writing (including by e-mail). The Placement Notice shall be effective immediately upon receipt by the Agent unless and until (i) in accordance with the notice requirements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the Agent declines to accept the terms contained therein for any reason, in its sole discretion, (ii) the entire amount of the Placement Shares thereunder has been sold, (iii) in accordance with the notice requirements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the Company suspends or terminates the Placement Notice, which suspension and termination rights may be exercised by the Company for any reason in its sole discretion, (iv) the Company issues a subsequent Placement Notice with parameters superseding those on the earlier dated Placement Notice, or (v) this Agreement has been terminated under the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of this Agreement and the terms of a Placement Notice, the terms of the Placement Notice will control.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Sale of Placement Shares by the Agent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of this Agreement, for the period specified in a Placement Notice, the Agent will use its commercially reasonable efforts consistent with its normal trading and sales practices and applicable state and federal laws, rules and regulations and the rules of the Nasdaq Capital Market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to sell the Placement Shares up to the amount specified by the Company in, and otherwise in accordance with the terms of, such Placement Notice. The Agent will provide written confirmation to the Company (including by email correspondence to each of the individuals of the Company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 weighted average trading price of the Placement Shares sold, the compensation payable by the Company to the Agent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as reflected on the applicable settlement statement issued by the executing/clearing broker. Subject to the terms of a Placement Notice, the Agent may sell Placement Shares by any method permitted by law deemed to be an “at the market offering” as defined in Rule 415 of the Securities Act.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Ordinary Shares are purchased and sold on the principal market on which the Ordinary Shares are listed or quoted.</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term of this Agreement, the Agent shall act solely as agent and not as principal in connection with any sale of the Placement Shares, unless and until (i) the Agent has received all required regulatory approvals to act as principal, (ii) has delivered to the Company a written notice electing principal capacity (a “</w:t>
      </w:r>
      <w:r>
        <w:rPr>
          <w:rFonts w:ascii="Times New Roman;Times;Serif" w:hAnsi="Times New Roman;Times;Serif"/>
          <w:b w:val="false"/>
          <w:i w:val="false"/>
          <w:caps w:val="false"/>
          <w:smallCaps w:val="false"/>
          <w:sz w:val="20"/>
          <w:u w:val="single"/>
        </w:rPr>
        <w:t>Principal Capacity Notice</w:t>
      </w:r>
      <w:r>
        <w:rPr>
          <w:rFonts w:ascii="Times New Roman;Times;Serif" w:hAnsi="Times New Roman;Times;Serif"/>
          <w:b w:val="false"/>
          <w:i w:val="false"/>
          <w:caps w:val="false"/>
          <w:smallCaps w:val="false"/>
          <w:sz w:val="20"/>
        </w:rPr>
        <w:t>”), and (iii) the Company and the Agent have mutually agreed in writing to the terms of any such principal transaction. Nothing herein shall require the Agent to purchase any Placement Shares for its own account, maintain inventory in the Ordinary Shares, make a market in the Ordinary Shares, stabilize or support the price of the Ordinary Shares, or act as a financial advisor, fiduciary, underwriter or market participant other than as expressly set forth herein. The Agent shall have no liability for declining to purchase Placement Shares on a principal basis or for declining to engage in any activity that the Agent reasonably believes could raise regulatory, market-conduct, capital, settlement, clearing, litigation or reputational concerns. Prior to the effectiveness of any Principal Capacity Notice, neither the Agent nor any of its affiliates or subsidiaries shall engage in (i) any short sale of any security of the Company or (ii) any sale of any security of the Company that the Agent does not own or any sale that is consummated by the delivery of a security of the Company borrowed by, or for the account of, the Agent. From and after the effectiveness of any Principal Capacity Notice, the Agent may act as principal under this Agreement; provided that the Agent will not effect short sales of the Ordinary Shares or sell any Ordinary Shares other than Ordinary Shares it acquires from the Company under this Agreement. During the term of this Agreement and notwithstanding anything to the contrary herein, the Agent agrees that in no event will the Agent or its affiliates engage in any market making, bidding, stabilization or other trading activity with regard to the Ordinary Shares or related derivative securities if such activity would be prohibited under Regulation M or other anti-manipulation rules under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or the Agent may, upon notice to the other party in writing (including by email correspondence to each of the individuals of the other party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or by telephone (confirmed immediately by verifiable email correspondence to each of the individuals of the other party set forth on </w:t>
      </w:r>
      <w:r>
        <w:rPr>
          <w:rFonts w:ascii="Times New Roman;Times;Serif" w:hAnsi="Times New Roman;Times;Serif"/>
          <w:b w:val="false"/>
          <w:i w:val="false"/>
          <w:caps w:val="false"/>
          <w:smallCaps w:val="false"/>
          <w:sz w:val="20"/>
          <w:u w:val="single"/>
        </w:rPr>
        <w:t xml:space="preserve">Schedule </w:t>
      </w:r>
      <w:r>
        <w:rPr>
          <w:rFonts w:ascii="Times New Roman;Times;Serif" w:hAnsi="Times New Roman;Times;Serif"/>
          <w:b w:val="false"/>
          <w:i w:val="false"/>
          <w:caps w:val="false"/>
          <w:smallCaps w:val="false"/>
          <w:sz w:val="20"/>
        </w:rPr>
        <w:t>3), suspend any sale of Placement Shares (a “</w:t>
      </w:r>
      <w:r>
        <w:rPr>
          <w:rFonts w:ascii="Times New Roman;Times;Serif" w:hAnsi="Times New Roman;Times;Serif"/>
          <w:b w:val="false"/>
          <w:i w:val="false"/>
          <w:caps w:val="false"/>
          <w:smallCaps w:val="false"/>
          <w:sz w:val="20"/>
          <w:u w:val="single"/>
        </w:rPr>
        <w:t>Suspension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Times;Serif" w:hAnsi="Times New Roman;Times;Serif"/>
          <w:b w:val="false"/>
          <w:i w:val="false"/>
          <w:caps w:val="false"/>
          <w:smallCaps w:val="false"/>
          <w:sz w:val="20"/>
          <w:u w:val="single"/>
        </w:rPr>
        <w:t>Sections 7(l)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with respect to the delivery of certificates, opinions, or comfort letters to the Agent, shall be waived. Each of the parties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any other party unless it is made to one of the individuals named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hereto, as such Schedule may be amended from time to time. During a Suspension, the Company shall not issue any Placement Notices and the Agent shall not sell any Placement Shares hereunder. The party that issued a suspension notice shall notify the other party in writing of the Trading Day on which the Suspension shall expire not later than twenty-four (24) hours prior to such Trading Day.</w:t>
      </w:r>
    </w:p>
    <w:p>
      <w:pPr>
        <w:pStyle w:val="TextBody"/>
        <w:bidi w:val="0"/>
        <w:ind w:left="0" w:right="0" w:firstLine="720"/>
        <w:jc w:val="both"/>
        <w:rPr>
          <w:caps w:val="false"/>
          <w:smallCaps w:val="false"/>
        </w:rPr>
      </w:pPr>
      <w:r>
        <w:rPr>
          <w:caps w:val="false"/>
          <w:smallCaps w:val="false"/>
        </w:rPr>
        <w:t> </w:t>
      </w:r>
    </w:p>
    <w:p>
      <w:pPr>
        <w:pStyle w:val="TextBody"/>
        <w:bidi w:val="0"/>
        <w:ind w:left="14"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of this Agreement, during any period in which the Company is in possession of material non-public information with respect to the Company, the Company and the Agent agree that (i) no sale of Placement Shares will take place, (ii) the Company shall not request the sale of any Placement Shares, and (iii) the Agent shall not be obligated to sell or offer to sell any Placement Shares. The Agent may also suspend sales if the Agent becomes aware of information or circumstances that, in the Agent’s reasonable judgment, may require updated diligence, disclosure or deliverables before sales may appropriately resume. If the Agent reasonably determines that there is uncertainty regarding the Company’s FINRA Rule 5110 status or any FINRA filing or review obligation, the Agent may suspend or decline sales until such uncertainty is resolved to the Agent’s reasonable satisfaction.</w:t>
      </w:r>
    </w:p>
    <w:p>
      <w:pPr>
        <w:pStyle w:val="TextBody"/>
        <w:bidi w:val="0"/>
        <w:ind w:left="14" w:right="0" w:firstLine="706"/>
        <w:jc w:val="both"/>
        <w:rPr>
          <w:caps w:val="false"/>
          <w:smallCaps w:val="false"/>
        </w:rPr>
      </w:pPr>
      <w:r>
        <w:rPr>
          <w:caps w:val="false"/>
          <w:smallCaps w:val="false"/>
        </w:rPr>
        <w:t> </w:t>
      </w:r>
    </w:p>
    <w:p>
      <w:pPr>
        <w:pStyle w:val="TextBody"/>
        <w:bidi w:val="0"/>
        <w:ind w:left="14"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shall provide the Company with prompt written notice, which may be by email, of any suspension of sales, together with a general description of the basis for such suspension to the extent the Agent is not prohibited from doing so by applicable law, regulation, regulatory instruction or supervisory procedure.</w:t>
      </w:r>
    </w:p>
    <w:p>
      <w:pPr>
        <w:pStyle w:val="TextBody"/>
        <w:bidi w:val="0"/>
        <w:ind w:left="14" w:right="0" w:firstLine="706"/>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14" w:right="0" w:firstLine="706"/>
        <w:jc w:val="both"/>
        <w:rPr>
          <w:caps w:val="false"/>
          <w:smallCaps w:val="false"/>
        </w:rPr>
      </w:pPr>
      <w:r>
        <w:rPr>
          <w:caps w:val="false"/>
          <w:smallCaps w:val="false"/>
        </w:rPr>
        <w:t> </w:t>
      </w:r>
    </w:p>
    <w:p>
      <w:pPr>
        <w:pStyle w:val="TextBody"/>
        <w:bidi w:val="0"/>
        <w:ind w:left="14"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any suspension of sales, the Agent shall use commercially reasonable efforts to resume sales promptly after the conditions giving rise to such suspension have been resolved, all applicable conditions to sales have been satisfied, and the Agent has reasonably determined that it is appropriate to resume sales, unless otherwise instructed by the Company.</w:t>
      </w:r>
    </w:p>
    <w:p>
      <w:pPr>
        <w:pStyle w:val="TextBody"/>
        <w:bidi w:val="0"/>
        <w:ind w:left="14" w:right="0" w:firstLine="706"/>
        <w:jc w:val="both"/>
        <w:rPr>
          <w:caps w:val="false"/>
          <w:smallCaps w:val="false"/>
        </w:rPr>
      </w:pPr>
      <w:r>
        <w:rPr>
          <w:caps w:val="false"/>
          <w:smallCaps w:val="false"/>
        </w:rPr>
        <w:t> </w:t>
      </w:r>
    </w:p>
    <w:p>
      <w:pPr>
        <w:pStyle w:val="TextBody"/>
        <w:bidi w:val="0"/>
        <w:ind w:left="14"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sales have been suspended for more than five (5) consecutive Trading Days, the Company may request in writing that the Agent provide a written explanation of the continued basis for such suspension. The Agent shall respond to such request within two (2) Business Days, to the extent the Agent is not prohibited from doing so by applicable law, regulation, regulatory instruction, confidentiality obligation or supervisory procedure. If the Company reasonably believes that the conditions giving rise to the suspension have been resolved, the Company may request in writing that the Agent resume sales, and the Agent shall either (i) resume sales within two (2) Business Days after all conditions to resumption have been satisfied, or (ii) provide a written explanation of why continued suspension remains warranted, to the extent the Agent is not prohibited from doing so by applicable law.</w:t>
      </w:r>
    </w:p>
    <w:p>
      <w:pPr>
        <w:pStyle w:val="TextBody"/>
        <w:bidi w:val="0"/>
        <w:ind w:left="14" w:right="0" w:firstLine="706"/>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Sale and Issuance to the Agent; Settlement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Sale of Placement Shares</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in,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the Exchange to sell such Placement Shares as required under this Agreement and (iii) the Agent shall be under no obligation to purchase Placement Shares on a principal basis pursuant to this Agreement, except as otherwise agreed by the Agent and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first (1st) Trading Day (or such earlier day as is industry practice for regular-way trading) following the date on which such sales are made (each,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The Agent shall provide a written confirmation report (which may be by electronic mail) to the Company following the close of each Trading Day setting forth (among others) (A) the number of Ordinary Shares sold on such day and (B) the average price of the Ordinary Shares sold on such day, no later than the opening of the Trading Day immediately after the Settlement Date. The amount of proceeds to be delivered to the Company on a Settlement Date against receipt of the Placement Shares sold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for the Placement Shares sold, less (i) the Agent’s commission, discount or other compensation for such sales payable by the Company pursuant to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hereof, and (ii) any transaction fees imposed by any governmental or self-regulatory organization and any applicable clearing costs incurred by the Agent in respect of such sales, in each case as reflected on the settlement statement issued by the executing/clearing broker. The Agent will not receive, hold, or control any investor or Company funds or securities; all settlement information provided to the Company will be reflected in trade confirmations or a settlement statement from the executing/clearing broker.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Issue of Placement Shares</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Placement Shares being sold by crediting the account of the Agent’s executing/clearing broker (provided the Agent shall have given the Company written notice of such designee and such designee’s account information at least one Trading Day prior to the Settlement Date) at The Depository Trust Company through its Deposit and Withdrawal at Custodian System (the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and making a corresponding entry into the Company’s register of members or by such other means of issuance as may be mutually agreed upon by the parties hereto which in all cases shall be freely tradable, transferable, registered shares in good deliverable form. On each Settlement Date, the executing/clearing broker will deliver the related Net Proceeds in same day funds to an account designated by the Company on, or prior to, the Settlement Date. The Agent will not receive, hold, or control any customer, investor, or Company funds or securities. The Agent shall be responsible for providing DWAC</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instructions or other instructions for delivery by other means with regard to the transfer of the Placement Shares being sold. The Company agrees that if the Company, or its transfer agent (if applicable), defaults in its obligation to issue Placement Shares on a Settlement Date through no fault of the Agent, then in addition to and in no way limiting the rights and obligations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hereto, it will (i) hold the Agent harmless against any loss, claim, damage, or reasonable, documented expense (including reasonable and documented legal fees and expenses), as incurred, arising out of or in connection with such default by the Company or its transfer agent (if applicable) and (ii) pay to the Agent (without duplication) any commission, discount, or other compensation to which it would otherwise have been entitled absent such default.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val="false"/>
          <w:caps w:val="false"/>
          <w:smallCaps w:val="false"/>
          <w:sz w:val="20"/>
        </w:rPr>
        <w:t>. Under no circumstances shall the Company cause or request the offer or sale of any Placement Shares if, after giving effect to the sale of such Placement Shares, the aggregate number of Placement Shares sold pursuant to this Agreement would exceed the lesser of (A) together with all sales of Placement Shares under this Agreement, the Maximum Amount, (B) the amount available for offer and sale under the currently effective Registration Statement, (C) the amount authorized from time to time to be issued and sold under this Agreement by the Company’s board of directors, a duly authorized committee thereof or a duly authorized executive committee, and notified to the Agent in writing and (D) the aggregate number of authorized but unissued and unreserved Ordinary Shares in accordance with the Company’s amended and restated memorandum and articles of association, as amended and restated from time to time (the “Articles”). Under no circumstances shall the Company cause or request the offer or sale of any Placement Shares pursuant to this Agreement at a price lower than the higher of (a) the par value of the Placement Shares from time to time; and (b) the minimum price authorized from time to time by the Company’s board of directors, a duly authorized committee thereof or a duly authorized executive committee, and notified to the Agent in writing.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disclosed in the Registration Statement or Prospectus (including the Incorporated Documents), the Company represents and warrants to, and agrees with the Agent that as of the date of this Agreement and as of each Applicable Time (as defined below), unless such representation, warranty or agreement specifies a different date or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transactions contemplated by this Agreement meet the requirements for use of Form F-3 under the Securities Act and, if and to the extent the Company is relying on General Instruction I.B.5 of Form F-3, the Company meets the requirements of General Instruction I.B.5, including that the aggregate market value of securities sold by or on behalf of the Company pursuant to General Instruction I.B.5 during the 12 calendar months immediately prior to, and including, any sale hereunder is no more than one-third of the aggregate market value worldwide of the Company’s voting and non-voting common equity held by non-affiliates, as calculated in accordance with Form F-3. The Prospectus Supplement will name Chaince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assuming no act or omission on the part of the Agent that would make such statements untrue,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 has consented, which consent will not be unreasonably withheld or delayed, or that is required by applicable law or the listing maintenance requirements of the Exchange. The Ordinary Shares are currently quoted on the Exchange under the trading symbol “ZJK.” The Company has not, in the 12 months preceding the date hereof, received notice from the Exchange to the effect that the Company is not in compliance with the listing or maintenance requirements of the Exchange. To the Company’s knowledge, it is in compliance with all such listing and maintenance requirements.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specifically for use in the preparation thereof.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shareholders’ equity of the Company and the Subsidiaries for the periods specified (subject, in the case of unaudited statements, to normal year-end audit adjustments which will not be material, either individually or in the aggregate) and have been prepared in compliance with the published requirements of the Securities Act and Exchange Act, as applicable, and in conformity with generally accepted accounting principles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the other financial and statistical data with respect to the Company and the Subsidiaries contained or incorporated by reference in the Registration Statement and the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 balance sheet obligations), not described in the Registration Statement, and the Prospectus which are required to be described in the Registration Statement or Prospectus; and all disclosures contained or incorporated by reference in the Registration Statement and the Prospectus,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Conformity with EDGAR Filing</w:t>
      </w:r>
      <w:r>
        <w:rPr>
          <w:rFonts w:ascii="Times New Roman;Times;Serif" w:hAnsi="Times New Roman;Times;Serif"/>
          <w:b w:val="false"/>
          <w:i w:val="false"/>
          <w:caps w:val="false"/>
          <w:smallCaps w:val="false"/>
          <w:sz w:val="20"/>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and any subsidiary that is a significant subsidiary (as such term is defined in Rule 1-02 of Regulation S-X promulgated by the Commission) (each,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are, and will be, duly organized, validly existing as a corporation and in good standing under the laws of their respective jurisdictions of organization. The Company and the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on the assets, business, operations, earnings, properties, condition (financial or otherwise), shareholders’ equity or results of operations of the Company and the Subsidiaries taken as a whole, or prevent the consummation of the transactions contemplated hereby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The Company does not own or control, directly or indirectly, any corporation, association or other entity other than the subsidiaries listed in Exhibit 8.1 to the Company’s Annual Report on Form 20-F for the most recently ended fiscal year and other than (i) those subsidiaries not required to be listed on Exhibit 8.1 by instructions as to exhibits to Form 20-F and (ii) those subsidiaries formed since the last day of the most recently ended fiscal year.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Neither the Company nor any Subsidiary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similar agreement or instrument to which the Company or any Subsidiary is a party or by which the Company or any Subsidiary is bound or to which any of the property or assets of the Company or any Subsidiary is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Subsidiary is a party is in default in any respect thereunder where such default would have a Material Adverse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date of the most recent financial statements of the Company included or incorporated by reference in the Registration Statement and Prospectus, there has not been (i) any Material Adverse Effect, or any development that would result in a Material Adverse Effect, (ii) any transaction which is material to the Company and the Subsidiaries taken as a whole, (iii) any obligation or liability, direct or contingent (including any off-balance sheet obligations), incurred by the Company or the Subsidiaries, which is material to the Company and the Subsidiaries taken as a whole, (iv) any material change in the share capital (other than (A) the grant of additional options under the Company’s existing stock option plans, (B) changes in the number of issued and outstanding Ordinary Shares of the Company due to the issuance of shares upon the exercise or conversion of securities exercisable for, or convertible into, Ordinary Shares issued and outstanding on the date hereof, (C) as a result of the issuance of Placement Shares, (D) any repurchases of shares of the Company, (E) as described in a proxy statement filed on Schedule 14A or a Registration Statement on Form F-4, or (F) otherwise publicly announced) or outstanding long-term indebtedness of the Company or the Subsidiaries or (v) any dividend or distribution of any kind declared, paid or made on the shares of the Company or any Subsidiary, other than in each case above in the ordinary course of business or as otherwise disclosed in the Registration Statement or Prospectus (including any document incorporated by reference therein).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shares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(i) the grant of additional options under the Company’s existing stock option plans, (ii) changes in the number of issued and outstanding Ordinary Shares of the Company due to the issuance of shares upon the exercise or conversion of securities exercisable for, or convertible into, Ordinary Shares issued and outstanding on the date hereof, (iii) as a result of the issuance of Placement Shares, or (iv) any repurchases of shares of the Company) and such authorized share capital conforms to the description thereof set forth in the Registration Statement and the Prospectus. The description of the Ordinary Shares in the Registration Statement and the Prospectus is complete and accurate in all material respects. Except as disclosed in or contemplated by the Registration Statement or the Prospectus, the Company did not have outstanding any options to purchase, or any rights or warrants to subscribe for, or any securities or obligations convertible into, or exchangeable for, or any contracts or commitments to issue or sell, any shares or other securities.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F-3 Eligibility</w:t>
      </w:r>
      <w:r>
        <w:rPr>
          <w:rFonts w:ascii="Times New Roman;Times;Serif" w:hAnsi="Times New Roman;Times;Serif"/>
          <w:b w:val="false"/>
          <w:i w:val="false"/>
          <w:caps w:val="false"/>
          <w:smallCaps w:val="false"/>
          <w:sz w:val="20"/>
        </w:rPr>
        <w:t>. (i) At the time of filing the Registration Statement and (ii) at the time of the most recent amendment thereto for purposes of complying with Section 10(a)(3) of the Securities Act, the Company met the then applicable requirements for use of Form F-3 under the Securities Act and, if and to the extent the Company is relying on General Instruction I.B.5 of Form F-3, the Company met the requirements of General Instruction I.B.5 (including the applicable transactional limitations thereunder). The Company is not a shell company (as defined in Rule 405 under the Securities Act) and has not been a shell company for at least 12 calendar months previously.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xml:space="preserve">.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may be limited by federal or state securities laws and public policy considerations in respect thereof.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Authorization of Placement Shares</w:t>
      </w:r>
      <w:r>
        <w:rPr>
          <w:rFonts w:ascii="Times New Roman;Times;Serif" w:hAnsi="Times New Roman;Times;Serif"/>
          <w:b w:val="false"/>
          <w:i w:val="false"/>
          <w:caps w:val="false"/>
          <w:smallCaps w:val="false"/>
          <w:sz w:val="20"/>
        </w:rPr>
        <w:t>. The Placement Shares, when issued pursuant to the terms approved by the board of directors of the Company or a duly authorized committee thereof, or a duly authorized executive committee, and the Articles, against payment therefor as provided herein, and upon registration in the register of members of the Company, will be duly and validly authorized and issued and fully paid and nonassessable  , and, subject to liens imposed by the Company’s articles of association (as may be amended from time to time), free and clear of any pledge, encumbrance, security interest or other claim (other than any pledge, encumbrance, security interest or other claim arising from an act or omission of the Agent or a purchaser),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any governmental or regulatory authority is required for the execution, delivery and performance by the Company of this Agreement, and the issuance and sale by the Company of the Placement Shares as contemplated hereby, except for such consents, approvals, authorizations, orders and registrations or qualifications (i) as may be required under applicable state securities laws or by the by-laws and rules of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the Exchange, including any notices that may be required by the Exchange, in connection with the sale of the Placement Shares by the Agent, (ii) as may be required under the Securities Act, (iii) as have been previously obtained by the Company, (iv) the filing with the Commission of the Prospectus Supplement, (v) the filing of a current report on Form 6-K with respect to the execution of this Agreement, and (vi) the filings required by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 Preferential Rights</w:t>
      </w:r>
      <w:r>
        <w:rPr>
          <w:rFonts w:ascii="Times New Roman;Times;Serif" w:hAnsi="Times New Roman;Times;Serif"/>
          <w:b w:val="false"/>
          <w:i w:val="false"/>
          <w:caps w:val="false"/>
          <w:smallCaps w:val="false"/>
          <w:sz w:val="20"/>
        </w:rPr>
        <w:t>. (i) No person, as such term is defined in Rule 1-02 of Regulation S-X promulgated under the Securities Act (each, a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has the right, contractual or otherwise, to cause the Company to issue or sell to such Person any Ordinary Shares or other securities of the Company (other than upon the exercise of options or warrants to purchase Ordinary Shares or upon the exercise of options that may be granted from time to time under the Company’s stock option plan), (ii) no Person has any preemptive rights, rights of first refusal, or any other rights (whether pursuant to a “poison pill” provision or otherwise) to purchase any Ordinary Shares or other securities of the Company from the Company which have not been duly waived with respect to the offering contemplated hereby, (iii) no Person has the right to act as an underwriter or as a financial advisor to the Company in connection with the offer and sale of the Ordinary Shares, and (iv) no Person has the right, contractual or otherwise, to require the Company to register under the Securities Act any Ordinary Shares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in each case for such rights as have been waived on or prior to the date 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Independent Public Accountant</w:t>
      </w:r>
      <w:r>
        <w:rPr>
          <w:rFonts w:ascii="Times New Roman;Times;Serif" w:hAnsi="Times New Roman;Times;Serif"/>
          <w:b w:val="false"/>
          <w:i w:val="false"/>
          <w:caps w:val="false"/>
          <w:smallCaps w:val="false"/>
          <w:sz w:val="20"/>
        </w:rPr>
        <w:t>. TPS Thayer, LLC and HTL International, LLC (each, an “</w:t>
      </w:r>
      <w:r>
        <w:rPr>
          <w:rFonts w:ascii="Times New Roman;Times;Serif" w:hAnsi="Times New Roman;Times;Serif"/>
          <w:b w:val="false"/>
          <w:i w:val="false"/>
          <w:caps w:val="false"/>
          <w:smallCaps w:val="false"/>
          <w:sz w:val="20"/>
          <w:u w:val="single"/>
        </w:rPr>
        <w:t>Accountant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whose reports on the consolidated financial statements of the Company are filed with the Commission as part of the Company’s most recent Annual Report on Form 20-F filed with the Commission and incorporated into the Registration Statement, are and, during the periods covered by their reports, were independent public accountants within the meaning of the Securities Act and the Public Company Accounting Oversight Board (United States). To the Company’s knowledge, no Accountant is in violation of the auditor independence requirements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with respect to the Company.</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and, to the Company’s knowledge,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have a Material Adverse Effect.</w:t>
      </w:r>
    </w:p>
    <w:p>
      <w:pPr>
        <w:pStyle w:val="TextBody"/>
        <w:bidi w:val="0"/>
        <w:ind w:left="0" w:right="0" w:firstLine="1440"/>
        <w:jc w:val="both"/>
        <w:rPr>
          <w:caps w:val="false"/>
          <w:smallCaps w:val="false"/>
        </w:rPr>
      </w:pPr>
      <w:r>
        <w:rPr>
          <w:caps w:val="false"/>
          <w:smallCaps w:val="false"/>
        </w:rPr>
        <w:t> </w:t>
      </w:r>
    </w:p>
    <w:p>
      <w:pPr>
        <w:pStyle w:val="TextBody"/>
        <w:bidi w:val="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are no legal, governmental or regulatory actions, suits or proceedings pending, nor, to the Company’s knowledge, any legal, governmental or regulatory investigations, to which the Company or a Subsidiary is a party or to which any property of the Company or any Subsidiary is the subject that, individually or in the aggregate, if determined adversely to the Company or any Subsidiary, would have a Material Adverse Effect or materially and adversely affect the ability of the Company to perform its obligations under this Agreement; to the Company’s knowledge, no such actions, suits or proceedings are threatened or contemplated in writing by any governmental or regulatory authority or threatened in writing by others that, individually or in the aggregate, if determined adversely to the Company or any Subsidiary, would have a Material Adverse Effect; and there are no current or pending legal, governmental or regulatory actions, suits, proceedings or, to the Company’s knowledge, investigations that are required under the Securities Act to be described in the Prospectus that are not described in the Prospectus (including any Incorporated Document).</w:t>
      </w:r>
    </w:p>
    <w:p>
      <w:pPr>
        <w:pStyle w:val="TextBody"/>
        <w:bidi w:val="0"/>
        <w:ind w:left="72" w:right="72"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 The Company and the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currently conducted, as described in the Registration Statement and the Prospectus (the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possess, obtain or make the same would not, individually or in the aggregate, have a Material Adverse Effect. Neither the Company nor any Subsidiary has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have a Material Adverse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Neither the Company nor any Subsidiary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20-F,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Certain Market Activities</w:t>
      </w:r>
      <w:r>
        <w:rPr>
          <w:rFonts w:ascii="Times New Roman;Times;Serif" w:hAnsi="Times New Roman;Times;Serif"/>
          <w:b w:val="false"/>
          <w:i w:val="false"/>
          <w:caps w:val="false"/>
          <w:smallCaps w:val="false"/>
          <w:sz w:val="20"/>
        </w:rPr>
        <w:t>. Neither the Company, nor any Subsidiary, nor, to the knowledge of the Company, any of their respective directors, officers or controlling persons has taken, directly or indirectly, any action designed, or that has constituted or would cause or result in, under the Exchange Act or otherwise, the stabilization or manipulation of the price of any security of the Company to facilitate the sale or resale of the Placement Shares. The Company has not (i) provided the Agent with any targeted investor list, (ii) directed sales to specific persons, accounts or groups, (iii) coordinated investor participation in the ATM Program, (iv) encouraged or arranged purchases by affiliates, related parties, officers, directors, employees, consultants, promoters, vendors, customers or strategic partners, or (v) used any nominee, omnibus, pass-through or coordinated account structure to facilitate purchases of Placement Shares or trading in the Ordinary Shares. The Company is not aware of any nominee accounts, omnibus structures, coordinated investor groups, undisclosed investor arrangements, market manipulation arrangements, paid touting arrangements or promotional campaigns relating to the Ordinary Shares or the ATM Program. The Company has not engaged in coordinated social media promotion campaigns, group-based trading inducement, issuer-sponsored investor groups, undisclosed third-party marketing efforts, paid touting, promotional newsletters, online chatroom campaigns, or other communications through social media or messaging platforms for the purpose of encouraging trading in the Ordinary Shares or facilitating sale under the ATM Program.</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Broker/Dealer Relationships</w:t>
      </w:r>
      <w:r>
        <w:rPr>
          <w:rFonts w:ascii="Times New Roman;Times;Serif" w:hAnsi="Times New Roman;Times;Serif"/>
          <w:b w:val="false"/>
          <w:i w:val="false"/>
          <w:caps w:val="false"/>
          <w:smallCaps w:val="false"/>
          <w:sz w:val="20"/>
        </w:rPr>
        <w:t>. Neither the Company nor any Subsidiary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any Agent or legal counsel for the Agent for any legal, tax or accounting advice in connection with the offering and sale of the Placement Shares.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the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have a Material Adverse Effect. Except as otherwise disclosed in or contemplated by the Registration Statement or the Prospectus, no tax deficiency has been determined adversely to the Company or any Subsidiary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pStyle w:val="TextBody"/>
        <w:bidi w:val="0"/>
        <w:ind w:left="0" w:right="0" w:firstLine="1440"/>
        <w:jc w:val="both"/>
        <w:rPr>
          <w:caps w:val="false"/>
          <w:smallCaps w:val="false"/>
        </w:rPr>
      </w:pPr>
      <w:r>
        <w:rPr>
          <w:caps w:val="false"/>
          <w:smallCaps w:val="false"/>
        </w:rPr>
        <w:t> </w:t>
      </w:r>
    </w:p>
    <w:p>
      <w:pPr>
        <w:pStyle w:val="TextBody"/>
        <w:bidi w:val="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Title to Real and Personal Property.</w:t>
      </w:r>
      <w:r>
        <w:rPr>
          <w:rFonts w:ascii="Times New Roman;Times;Serif" w:hAnsi="Times New Roman;Times;Serif"/>
          <w:b w:val="false"/>
          <w:i w:val="false"/>
          <w:caps w:val="false"/>
          <w:smallCaps w:val="false"/>
          <w:sz w:val="20"/>
        </w:rPr>
        <w:t xml:space="preserve"> The Company and the Subsidiaries have good and valid title in fee simple to all items of real property and good and valid title to all personal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and proposed to be made of such property by the Company and the Subsidiaries or (ii) would not, individually or in the aggregate, have a Material Adverse Effect. Any real property described in the Registration Statement or Prospectus as being leased by the Company and the Subsidiaries is held by them under valid, existing and enforceable leases, except those that (A) do not materially interfere with the use made or proposed to be made of such property by the Company or the Subsidiaries or (B) would not, individually or in the aggregate, have a Material Adverse Effect.</w:t>
      </w:r>
    </w:p>
    <w:p>
      <w:pPr>
        <w:pStyle w:val="TextBody"/>
        <w:bidi w:val="0"/>
        <w:ind w:left="72" w:right="72" w:firstLine="1440"/>
        <w:jc w:val="both"/>
        <w:rPr>
          <w:caps w:val="false"/>
          <w:smallCaps w:val="false"/>
        </w:rPr>
      </w:pPr>
      <w:r>
        <w:rPr>
          <w:caps w:val="false"/>
          <w:smallCaps w:val="false"/>
        </w:rPr>
        <w:t> </w:t>
      </w:r>
    </w:p>
    <w:p>
      <w:pPr>
        <w:pStyle w:val="TextBody"/>
        <w:bidi w:val="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the Subsidiary own or possess adequate enforceable rights to use all patents, patent applications, trademarks (both registered and unregistered), trade names, trademark registrations, service marks, service mark registrations, Internet domain name registrations, copyrights, copyright registrations, licenses and know-how (including trade secrets and other unpatented and/or unpatentable proprietary or confidential information, systems or procedures) (collectively, the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In the last two (2) years prior to the date of this Agreement, the Company and the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challenging the Company’s or any Subsidiary’s rights in or to or the validity of the scope of any of the Company’s or its Subsidiaries’ patents, patent applications or proprietary information. To the Company’s knowledge, no other entity or individual has any right or claim in any of the Company’s or any of its Subsidiary’s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In the last two (2) years prior the date of this Agreement, the Company has not received any written notice of any claim challenging the rights of the Company or its Subsidiaries in or to any Intellectual Property owned, licensed or optioned by the Company or any Subsidiary which claim, if the subject of an unfavorable decision, would result in a Material Adverse Effect.</w:t>
      </w:r>
    </w:p>
    <w:p>
      <w:pPr>
        <w:pStyle w:val="TextBody"/>
        <w:bidi w:val="0"/>
        <w:ind w:left="72" w:right="72"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72" w:right="72"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Compliance with Applicable Laws.</w:t>
      </w:r>
      <w:r>
        <w:rPr>
          <w:rFonts w:ascii="Times New Roman;Times;Serif" w:hAnsi="Times New Roman;Times;Serif"/>
          <w:b w:val="false"/>
          <w:i w:val="false"/>
          <w:caps w:val="false"/>
          <w:smallCaps w:val="false"/>
          <w:sz w:val="20"/>
        </w:rPr>
        <w:t xml:space="preserve"> The Company and the Subsidiaries: (a) are and at all times have been in material compliance with all statutes, rules and regulations applicable to the ownership, testing, development, manufacture, packaging, processing, use, distribution, marketing, labeling, promotion, sale, offer for sale, storage, import, export or disposal of any product under development, manufactured or distributed by the Company or the Subsidiaries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(b) have not received any notice or communication from any federal, state, local or foreign governmental or regulatory authority alleging or asserting material noncompliance with any Applicable Laws or any licenses, certificates, approvals, clearances, authorizations, permits and supplements or amendments thereto required by any such Applicable Laws (“</w:t>
      </w:r>
      <w:r>
        <w:rPr>
          <w:rFonts w:ascii="Times New Roman;Times;Serif" w:hAnsi="Times New Roman;Times;Serif"/>
          <w:b w:val="false"/>
          <w:i w:val="false"/>
          <w:caps w:val="false"/>
          <w:smallCaps w:val="false"/>
          <w:sz w:val="20"/>
          <w:u w:val="single"/>
        </w:rPr>
        <w:t>Authorizations</w:t>
      </w:r>
      <w:r>
        <w:rPr>
          <w:rFonts w:ascii="Times New Roman;Times;Serif" w:hAnsi="Times New Roman;Times;Serif"/>
          <w:b w:val="false"/>
          <w:i w:val="false"/>
          <w:caps w:val="false"/>
          <w:smallCaps w:val="false"/>
          <w:sz w:val="20"/>
        </w:rPr>
        <w:t>”), which would, individually or in the aggregate, result in a Material Adverse Effect, (c) possess all material Authorizations necessary for its operations as currently conducted and such Authorizations are valid and in full force and effect and neither the Company nor the Subsidiaries is in material violation of any term of any such Authorizations; and (d) have filed, obtained, maintained or submitted all reports, documents, forms, notices, applications, records, claims, submissions and supplements or amendments as required by any Applicable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materially complete and correct on the date filed (or were corrected or supplemented by a subsequent submission).</w:t>
      </w:r>
    </w:p>
    <w:p>
      <w:pPr>
        <w:pStyle w:val="TextBody"/>
        <w:bidi w:val="0"/>
        <w:ind w:left="0" w:right="0" w:firstLine="1440"/>
        <w:jc w:val="both"/>
        <w:rPr>
          <w:caps w:val="false"/>
          <w:smallCaps w:val="false"/>
        </w:rPr>
      </w:pPr>
      <w:r>
        <w:rPr>
          <w:caps w:val="false"/>
          <w:smallCaps w:val="false"/>
        </w:rPr>
        <w:t> </w:t>
      </w:r>
    </w:p>
    <w:p>
      <w:pPr>
        <w:pStyle w:val="TextBody"/>
        <w:bidi w:val="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ind w:left="72" w:right="72"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the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disclosed in its most recent Annual Report on Form 20-F that it has identified material weaknesses in its internal control over financial reporting relating to the lack of in-house accounting personnel with sufficient knowledge of U.S. GAAP and SEC reporting experience, and that the Company’s disclosure controls and procedures as of December 31, 2025 were not effective. Such material weaknesses and ineffective disclosure controls and procedures have been disclosed in the Registration Statement and the Prospectus. The Company has developed, and is in the process of implementing, a remediation plan to address such material weaknesses, including (i) hiring internal qualified accounting personnel with relevant U.S. GAAP and SEC reporting experience and qualifications to strengthen the financial reporting function and to set up a financial and system control framework, (ii) implementing regular and continuous U.S. GAAP accounting and financial reporting training programs for the Company’s accounting and financial reporting personnel, (iii) setting up an internal audit function as well as engaging an external consulting firm to assist the Company with assessment of Sarbanes-Oxley compliance requirements and improvement of overall internal control, and (iv) appointing independent directors, establishing an audit committee, and strengthening corporate governance. Other than as set forth in the Registration Statement or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The Company has established disclosure controls and procedures (as defined in Exchange Act Rules 13a-15 and 15d-15) that comply with the requirements of the Exchange Act. The Company’s certifying officers have evaluated the effectiveness of the Company’s controls and procedures as of a date within 90 days prior to the filing date of the Form 20-F for the fiscal year most recently ended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Form 20-F for the fiscal year most recently ended the conclusions of the certifying officers about the effectiveness of the disclosure controls and procedures based on their evaluations as of the most recent Evaluation Date.</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There is and has been no failure on the part of the Company or, to the knowledge of the Company,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12 months. For purposes of the preceding sentence, “principal executive officer” and “principal financial officer” shall have the meanings given to such terms in the Exchange Act Rules 13a-15 and 15d-15.</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Neither the Company nor any Subsidiary has incurred any liability for any finder’s fees, brokerage commissions or similar payments in connection with the transactions herein contemplated, except as may otherwise exist with respect to the Agent pursuant to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Labor Disputes</w:t>
      </w:r>
      <w:r>
        <w:rPr>
          <w:rFonts w:ascii="Times New Roman;Times;Serif" w:hAnsi="Times New Roman;Times;Serif"/>
          <w:b w:val="false"/>
          <w:i w:val="false"/>
          <w:caps w:val="false"/>
          <w:smallCaps w:val="false"/>
          <w:sz w:val="20"/>
        </w:rPr>
        <w:t>. No labor disturbance by or dispute with employees of the Company or any Subsidiary exists or, to the knowledge of the Company, is threatened which would result in a Material Adverse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Company nor any Subsidiary is or, after giving effect to the offering and sale of the Placement Shares, will be required to register as an “investment company” or an entity “controlled” by an “investment company,” as such terms are defined in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The operations of the Company and the Subsidiaries are and have been conducted at all times in compliance with applicable financial record keeping and reporting requirements of the Currency and Foreign Transactions Reporting Act of 1970, as amended, the anti-money laundering statutes of all jurisdictions to which the Company or the Subsidiaries are subject, the rules and regulations thereunder and any related or similar rules, regulations or guidelines, issued, administered or enforced by any governmental agency having jurisdiction over the Company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except where the failure to be in such compliance would not result in a Material Adverse Effect; and no action, suit or proceeding by or before any court or governmental agency, authority or body or any arbitrator involving the Company or any Subsidiary with respect to the Money Laundering Laws is pending or, to the knowledge of the Company, threatened.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Off-Balance Sheet Arrangements</w:t>
      </w:r>
      <w:r>
        <w:rPr>
          <w:rFonts w:ascii="Times New Roman;Times;Serif" w:hAnsi="Times New Roman;Times;Serif"/>
          <w:b w:val="false"/>
          <w:i w:val="false"/>
          <w:caps w:val="false"/>
          <w:smallCaps w:val="false"/>
          <w:sz w:val="20"/>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Times;Serif" w:hAnsi="Times New Roman;Times;Serif"/>
          <w:b w:val="false"/>
          <w:i w:val="false"/>
          <w:caps w:val="false"/>
          <w:smallCaps w:val="false"/>
          <w:sz w:val="20"/>
          <w:u w:val="single"/>
        </w:rPr>
        <w:t>Off Balance Sheet Transaction</w:t>
      </w:r>
      <w:r>
        <w:rPr>
          <w:rFonts w:ascii="Times New Roman;Times;Serif" w:hAnsi="Times New Roman;Times;Serif"/>
          <w:b w:val="false"/>
          <w:i w:val="false"/>
          <w:caps w:val="false"/>
          <w:smallCaps w:val="false"/>
          <w:sz w:val="20"/>
        </w:rPr>
        <w:t>”) that would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Registration Statement or the Prospectus which have not been described as required.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Underwriter Agreements</w:t>
      </w:r>
      <w:r>
        <w:rPr>
          <w:rFonts w:ascii="Times New Roman;Times;Serif" w:hAnsi="Times New Roman;Times;Serif"/>
          <w:b w:val="false"/>
          <w:i w:val="false"/>
          <w:caps w:val="false"/>
          <w:smallCaps w:val="false"/>
          <w:sz w:val="20"/>
        </w:rPr>
        <w:t>. Other than with respect to this Agreement, the Company is not a party to any agreement with an agent or underwriter for any other “at the market” or continuous equity transaction.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(a “</w:t>
      </w:r>
      <w:r>
        <w:rPr>
          <w:rFonts w:ascii="Times New Roman;Times;Serif" w:hAnsi="Times New Roman;Times;Serif"/>
          <w:b w:val="false"/>
          <w:i w:val="false"/>
          <w:caps w:val="false"/>
          <w:smallCaps w:val="false"/>
          <w:sz w:val="20"/>
          <w:u w:val="single"/>
        </w:rPr>
        <w:t>Forward-Looking Statement</w:t>
      </w:r>
      <w:r>
        <w:rPr>
          <w:rFonts w:ascii="Times New Roman;Times;Serif" w:hAnsi="Times New Roman;Times;Serif"/>
          <w:b w:val="false"/>
          <w:i w:val="false"/>
          <w:caps w:val="false"/>
          <w:smallCaps w:val="false"/>
          <w:sz w:val="20"/>
        </w:rPr>
        <w:t>”) contained in the Registration Statement and the Prospectus has been made or reaffirmed without a reasonable basis or has been disclosed other than in good faith.</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nor sale of the Placement Shares nor the application of the proceeds thereof by the Company as described in the Registration Statement and the Prospectus will violate Regulation T, U or X of the Board of Governors of the Federal Reserve System.</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carry, or are covered by, insurance in such amounts and covering such risks as the Company and the Subsidiaries reasonably believe are adequate for the conduct of their business.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No Improper Practices</w:t>
      </w:r>
      <w:r>
        <w:rPr>
          <w:rFonts w:ascii="Times New Roman;Times;Serif" w:hAnsi="Times New Roman;Times;Serif"/>
          <w:b w:val="false"/>
          <w:i w:val="false"/>
          <w:caps w:val="false"/>
          <w:smallCaps w:val="false"/>
          <w:sz w:val="20"/>
        </w:rPr>
        <w:t>. (i) Neither the Company nor, to the Company’s knowledge, the Subsidiaries, nor to the Company’s knowledge, any of their respective executive officers has, in the past five years prior to the date of this Agreement,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the Subsidiaries or any affiliate of any of them, on the one hand, and the directors, officers and shareholders of the Company or, to the Company’s knowledge, the Subsidiaries, on the other hand, that is required by the Securities Act to be described in the Registration Statement and the Prospectus that is not so described; (iii) no relationship, direct or indirect, exists between or among the Company or the Subsidiaries or any affiliate of them, on the one hand, and the directors, officers or shareholders of the Company or, to the Company’s knowledge, the Subsidiaries, on the other hand, that is required by the rules of FINRA to be described in the Registration Statement and the Prospectus that is not so described; (iv) there are no material outstanding loans or advances or material guarantees of indebtedness by the Company or, to the Company’s knowledge, the Subsidiaries to or for the benefit of any of their respective officers or directors or any of the members of the families of any of them; and (v) the Company has not offered, or caused any placement agent to offer, Ordinary Shares to any person with the intent to influence unlawfully (A) a customer or supplier of the Company or the Subsidiaries to alter the customer’s or supplier’s level or type of business with the Company or the Subsidiaries or (B) a trade journalist or publication to write or publish favorable information about the Company or the Subsidiaries or any of their respective products or services, and, (vi) neither the Company nor the Subsidiaries nor, to the Company’s knowledge, any employee or agent of the Company or the Subsidiaries has made any payment of funds of the Company or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Status Under the Securities Act</w:t>
      </w:r>
      <w:r>
        <w:rPr>
          <w:rFonts w:ascii="Times New Roman;Times;Serif" w:hAnsi="Times New Roman;Times;Serif"/>
          <w:b w:val="false"/>
          <w:i w:val="false"/>
          <w:caps w:val="false"/>
          <w:smallCaps w:val="false"/>
          <w:sz w:val="20"/>
        </w:rPr>
        <w:t>. The Company was not and is not an ineligible issuer as defined in Rule 405 under the Securities Act at the times specified in Rules 164 and 433 under the Securities Act in connection with the offering of the Placement Shares.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No Misstatement or Omission in an Issuer Free Writing Prospectus</w:t>
      </w:r>
      <w:r>
        <w:rPr>
          <w:rFonts w:ascii="Times New Roman;Times;Serif" w:hAnsi="Times New Roman;Times;Serif"/>
          <w:b w:val="false"/>
          <w:i w:val="false"/>
          <w:caps w:val="false"/>
          <w:smallCaps w:val="false"/>
          <w:sz w:val="20"/>
        </w:rPr>
        <w:t xml:space="preserve">. Each Issuer Free Writing Prospectus, as of its issue date and as of each Applicable Time (as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below), did not, does not and will not, through the completion of the Placement or Placements for which such Issuer Free Writing Prospectus is issued,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of this Agreement, nor the issuance, offering or sale of the Placement Shares, nor the consummation of any of the transactions contemplated herein, nor the compliance by the Company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have a Material Adverse Effect.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ind w:left="72" w:right="72"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Subsidiary (collectively, the “</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nor, to the Company’s knowledge, any director, officer, employee, agent, affiliate or representative of the Entity, is a government, individual, or entity (in this paragraph (tt),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that is, or is owned or controlled by a Person that is:</w:t>
      </w:r>
    </w:p>
    <w:p>
      <w:pPr>
        <w:pStyle w:val="TextBody"/>
        <w:bidi w:val="0"/>
        <w:ind w:left="0" w:right="0" w:firstLine="2160"/>
        <w:jc w:val="both"/>
        <w:rPr>
          <w:caps w:val="false"/>
          <w:smallCaps w:val="false"/>
        </w:rPr>
      </w:pPr>
      <w:r>
        <w:rPr>
          <w:caps w:val="false"/>
          <w:smallCaps w:val="false"/>
        </w:rPr>
        <w:t> </w:t>
      </w:r>
    </w:p>
    <w:p>
      <w:pPr>
        <w:pStyle w:val="TextBody"/>
        <w:bidi w:val="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Treasury’s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w:t>
      </w:r>
      <w:r>
        <w:rPr>
          <w:rFonts w:ascii="Times New Roman;Times;Serif" w:hAnsi="Times New Roman;Times;Serif"/>
          <w:b w:val="false"/>
          <w:i w:val="false"/>
          <w:caps w:val="false"/>
          <w:smallCaps w:val="false"/>
          <w:sz w:val="20"/>
          <w:u w:val="single"/>
        </w:rPr>
        <w:t>UNSC</w:t>
      </w:r>
      <w:r>
        <w:rPr>
          <w:rFonts w:ascii="Times New Roman;Times;Serif" w:hAnsi="Times New Roman;Times;Serif"/>
          <w:b w:val="false"/>
          <w:i w:val="false"/>
          <w:caps w:val="false"/>
          <w:smallCaps w:val="false"/>
          <w:sz w:val="20"/>
        </w:rPr>
        <w:t>”), the European Union (“</w:t>
      </w:r>
      <w:r>
        <w:rPr>
          <w:rFonts w:ascii="Times New Roman;Times;Serif" w:hAnsi="Times New Roman;Times;Serif"/>
          <w:b w:val="false"/>
          <w:i w:val="false"/>
          <w:caps w:val="false"/>
          <w:smallCaps w:val="false"/>
          <w:sz w:val="20"/>
          <w:u w:val="single"/>
        </w:rPr>
        <w:t>EU</w:t>
      </w:r>
      <w:r>
        <w:rPr>
          <w:rFonts w:ascii="Times New Roman;Times;Serif" w:hAnsi="Times New Roman;Times;Serif"/>
          <w:b w:val="false"/>
          <w:i w:val="false"/>
          <w:caps w:val="false"/>
          <w:smallCaps w:val="false"/>
          <w:sz w:val="20"/>
        </w:rPr>
        <w:t>”), His Majesty’s Treasury (“</w:t>
      </w:r>
      <w:r>
        <w:rPr>
          <w:rFonts w:ascii="Times New Roman;Times;Serif" w:hAnsi="Times New Roman;Times;Serif"/>
          <w:b w:val="false"/>
          <w:i w:val="false"/>
          <w:caps w:val="false"/>
          <w:smallCaps w:val="false"/>
          <w:sz w:val="20"/>
          <w:u w:val="single"/>
        </w:rPr>
        <w:t>HMT</w:t>
      </w:r>
      <w:r>
        <w:rPr>
          <w:rFonts w:ascii="Times New Roman;Times;Serif" w:hAnsi="Times New Roman;Times;Serif"/>
          <w:b w:val="false"/>
          <w:i w:val="false"/>
          <w:caps w:val="false"/>
          <w:smallCaps w:val="false"/>
          <w:sz w:val="20"/>
        </w:rPr>
        <w:t>”),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w:t>
      </w:r>
    </w:p>
    <w:p>
      <w:pPr>
        <w:pStyle w:val="TextBody"/>
        <w:bidi w:val="0"/>
        <w:ind w:left="720" w:right="0" w:firstLine="2160"/>
        <w:jc w:val="both"/>
        <w:rPr>
          <w:caps w:val="false"/>
          <w:smallCaps w:val="false"/>
        </w:rPr>
      </w:pPr>
      <w:r>
        <w:rPr>
          <w:caps w:val="false"/>
          <w:smallCaps w:val="false"/>
        </w:rPr>
        <w:t> </w:t>
      </w:r>
    </w:p>
    <w:p>
      <w:pPr>
        <w:pStyle w:val="TextBody"/>
        <w:bidi w:val="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w:t>
      </w:r>
    </w:p>
    <w:p>
      <w:pPr>
        <w:pStyle w:val="TextBody"/>
        <w:bidi w:val="0"/>
        <w:ind w:left="72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Entity will not, directly or indirectly, knowingly use the proceeds of the offering, or lend, contribute or otherwise make available such proceeds to any subsidiary, joint venture partner or other Person:</w:t>
      </w:r>
    </w:p>
    <w:p>
      <w:pPr>
        <w:pStyle w:val="TextBody"/>
        <w:bidi w:val="0"/>
        <w:ind w:left="0" w:right="0" w:firstLine="2160"/>
        <w:jc w:val="both"/>
        <w:rPr>
          <w:caps w:val="false"/>
          <w:smallCaps w:val="false"/>
        </w:rPr>
      </w:pPr>
      <w:r>
        <w:rPr>
          <w:caps w:val="false"/>
          <w:smallCaps w:val="false"/>
        </w:rPr>
        <w:t> </w:t>
      </w:r>
    </w:p>
    <w:p>
      <w:pPr>
        <w:pStyle w:val="TextBody"/>
        <w:bidi w:val="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w:t>
      </w:r>
    </w:p>
    <w:p>
      <w:pPr>
        <w:pStyle w:val="TextBody"/>
        <w:bidi w:val="0"/>
        <w:ind w:left="720" w:right="0" w:firstLine="2160"/>
        <w:jc w:val="both"/>
        <w:rPr>
          <w:caps w:val="false"/>
          <w:smallCaps w:val="false"/>
        </w:rPr>
      </w:pPr>
      <w:r>
        <w:rPr>
          <w:caps w:val="false"/>
          <w:smallCaps w:val="false"/>
        </w:rPr>
        <w:t> </w:t>
      </w:r>
    </w:p>
    <w:p>
      <w:pPr>
        <w:pStyle w:val="TextBody"/>
        <w:bidi w:val="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the offering, whether as underwriter, advisor, investor or otherwise).</w:t>
      </w:r>
    </w:p>
    <w:p>
      <w:pPr>
        <w:pStyle w:val="TextBody"/>
        <w:bidi w:val="0"/>
        <w:ind w:left="72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Entity represents and covenants that, except as detailed in the Registration Statement and the Prospectus, for the past 5 years, it has not knowingly engaged in and is not now knowingly engaged in any dealing or transactions with any Person, or in any country or territory, that at the time of the dealing or transaction is or was the subject of Sanctions.</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Stock Transfer Taxes</w:t>
      </w:r>
      <w:r>
        <w:rPr>
          <w:rFonts w:ascii="Times New Roman;Times;Serif" w:hAnsi="Times New Roman;Times;Serif"/>
          <w:b w:val="false"/>
          <w:i w:val="false"/>
          <w:caps w:val="false"/>
          <w:smallCaps w:val="false"/>
          <w:sz w:val="20"/>
        </w:rPr>
        <w:t>. On each Settlement Date, all material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by the Company in all material respects.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(i)(x) To the knowledge of Company, there has been no security breach or other compromise of any Company’s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has not been notified of, and have no knowledge of any event or condition that would reasonably be expected to result in, any security breach or other compromise to their IT Systems and Data; (ii)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 and (iii) the Company has implemented backup and disaster recovery technology consistent with industry standards and practices.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ww. </w:t>
      </w:r>
      <w:r>
        <w:rPr>
          <w:rFonts w:ascii="Times New Roman;Times;Serif" w:hAnsi="Times New Roman;Times;Serif"/>
          <w:b w:val="false"/>
          <w:i w:val="false"/>
          <w:caps w:val="false"/>
          <w:smallCaps w:val="false"/>
          <w:sz w:val="20"/>
          <w:u w:val="single"/>
        </w:rPr>
        <w:t>FINRA Exemption</w:t>
      </w:r>
      <w:r>
        <w:rPr>
          <w:rFonts w:ascii="Times New Roman;Times;Serif" w:hAnsi="Times New Roman;Times;Serif"/>
          <w:b w:val="false"/>
          <w:i w:val="false"/>
          <w:caps w:val="false"/>
          <w:smallCaps w:val="false"/>
          <w:sz w:val="20"/>
        </w:rPr>
        <w:t>. As of the date of this Agreement, either (i) the Company qualifies as an “experienced issuer” under FINRA Rule 5110(j), or (ii) any FINRA filing, notice, review, no-objections process or other action required in connection with the transactions contemplated hereby has been completed, cleared, waived or is not required.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w:t>
      </w:r>
      <w:r>
        <w:rPr>
          <w:rFonts w:ascii="Times New Roman;Times;Serif" w:hAnsi="Times New Roman;Times;Serif"/>
          <w:b w:val="false"/>
          <w:i w:val="false"/>
          <w:caps w:val="false"/>
          <w:smallCaps w:val="false"/>
          <w:sz w:val="20"/>
          <w:u w:val="single"/>
        </w:rPr>
        <w:t>Foreign Private Issuer</w:t>
      </w:r>
      <w:r>
        <w:rPr>
          <w:rFonts w:ascii="Times New Roman;Times;Serif" w:hAnsi="Times New Roman;Times;Serif"/>
          <w:b w:val="false"/>
          <w:i w:val="false"/>
          <w:caps w:val="false"/>
          <w:smallCaps w:val="false"/>
          <w:sz w:val="20"/>
        </w:rPr>
        <w:t>. The Company is a “foreign private issuer” within the meaning of Rule 405 under the Securities Act. If the Company ceases to be “foreign private issuer” after the date hereof, any references in this Agreement (i) to a Form 20-F filed, or to be filed, after the date hereof shall be to a Form 10-K, (ii) to a Form 6-K filed or to be filed, after the date hereof shall be to a Form 8-K and (iii) in Section 7(r) [Sarbanes-Oxley Act] regarding “IFRS” shall regard U.S. Generally Accepted Accounting Principles.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yy. </w:t>
      </w:r>
      <w:r>
        <w:rPr>
          <w:rFonts w:ascii="Times New Roman;Times;Serif" w:hAnsi="Times New Roman;Times;Serif"/>
          <w:b w:val="false"/>
          <w:i w:val="false"/>
          <w:caps w:val="false"/>
          <w:smallCaps w:val="false"/>
          <w:sz w:val="20"/>
          <w:u w:val="single"/>
        </w:rPr>
        <w:t>Emerging Growth Company</w:t>
      </w:r>
      <w:r>
        <w:rPr>
          <w:rFonts w:ascii="Times New Roman;Times;Serif" w:hAnsi="Times New Roman;Times;Serif"/>
          <w:b w:val="false"/>
          <w:i w:val="false"/>
          <w:caps w:val="false"/>
          <w:smallCaps w:val="false"/>
          <w:sz w:val="20"/>
        </w:rPr>
        <w:t>. The Company is, and has been since its initial public offering, an “emerging growth company”, as defined in Section 2(a) of the Securities Act.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zz. </w:t>
      </w:r>
      <w:r>
        <w:rPr>
          <w:rFonts w:ascii="Times New Roman;Times;Serif" w:hAnsi="Times New Roman;Times;Serif"/>
          <w:b w:val="false"/>
          <w:i w:val="false"/>
          <w:caps w:val="false"/>
          <w:smallCaps w:val="false"/>
          <w:sz w:val="20"/>
          <w:u w:val="single"/>
        </w:rPr>
        <w:t>Passive Foreign Investment Company Status</w:t>
      </w:r>
      <w:r>
        <w:rPr>
          <w:rFonts w:ascii="Times New Roman;Times;Serif" w:hAnsi="Times New Roman;Times;Serif"/>
          <w:b w:val="false"/>
          <w:i w:val="false"/>
          <w:caps w:val="false"/>
          <w:smallCaps w:val="false"/>
          <w:sz w:val="20"/>
        </w:rPr>
        <w:t>. Based on the Company’s gross income and gross assets and the nature of the Company’s business, the Company was not a Passive Foreign Investment Company within the meaning of Section 1297 of the Code for the taxable year ended December 31, 2025.</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(aaa) </w:t>
      </w:r>
      <w:r>
        <w:rPr>
          <w:rFonts w:ascii="Times New Roman;Times;Serif" w:hAnsi="Times New Roman;Times;Serif"/>
          <w:b w:val="false"/>
          <w:i w:val="false"/>
          <w:caps w:val="false"/>
          <w:smallCaps w:val="false"/>
          <w:sz w:val="20"/>
          <w:u w:val="single"/>
        </w:rPr>
        <w:t>Controlled Foreign Corporation Status</w:t>
      </w:r>
      <w:r>
        <w:rPr>
          <w:rFonts w:ascii="Times New Roman;Times;Serif" w:hAnsi="Times New Roman;Times;Serif"/>
          <w:b w:val="false"/>
          <w:i w:val="false"/>
          <w:caps w:val="false"/>
          <w:smallCaps w:val="false"/>
          <w:sz w:val="20"/>
        </w:rPr>
        <w:t>. Based on the ownership of the Company’s shares, the Company does not believe that it was a “controlled foreign corporation” within the meaning of Section 957 of the Code for the taxable year ended December 31, 2025.</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(bbb) </w:t>
      </w:r>
      <w:r>
        <w:rPr>
          <w:rFonts w:ascii="Times New Roman;Times;Serif" w:hAnsi="Times New Roman;Times;Serif"/>
          <w:b w:val="false"/>
          <w:i w:val="false"/>
          <w:caps w:val="false"/>
          <w:smallCaps w:val="false"/>
          <w:sz w:val="20"/>
          <w:u w:val="single"/>
        </w:rPr>
        <w:t>PRC Compliance</w:t>
      </w:r>
      <w:r>
        <w:rPr>
          <w:rFonts w:ascii="Times New Roman;Times;Serif" w:hAnsi="Times New Roman;Times;Serif"/>
          <w:b w:val="false"/>
          <w:i w:val="false"/>
          <w:caps w:val="false"/>
          <w:smallCaps w:val="false"/>
          <w:sz w:val="20"/>
        </w:rPr>
        <w:t>. The Company and the Subsidiaries are in compliance in all material respects with all applicable laws, rules and regulations of the People’s Republic of China (the “</w:t>
      </w:r>
      <w:r>
        <w:rPr>
          <w:rFonts w:ascii="Times New Roman;Times;Serif" w:hAnsi="Times New Roman;Times;Serif"/>
          <w:b w:val="false"/>
          <w:i w:val="false"/>
          <w:caps w:val="false"/>
          <w:smallCaps w:val="false"/>
          <w:sz w:val="20"/>
          <w:u w:val="single"/>
        </w:rPr>
        <w:t>PRC</w:t>
      </w:r>
      <w:r>
        <w:rPr>
          <w:rFonts w:ascii="Times New Roman;Times;Serif" w:hAnsi="Times New Roman;Times;Serif"/>
          <w:b w:val="false"/>
          <w:i w:val="false"/>
          <w:caps w:val="false"/>
          <w:smallCaps w:val="false"/>
          <w:sz w:val="20"/>
        </w:rPr>
        <w:t>”), including without limitation, the Cybersecurity Law of the PRC, the Data Security Law of the PRC, the Personal Information Protection Law of the PRC, and any other applicable data protection, privacy or cybersecurity laws and regulations, except where the failure to be in such compliance would not, individually or in the aggregate, have a Material Adverse Effect. The Company and the Subsidiaries possess all necessary permits, licenses, approvals and authorizations required under applicable PRC laws and regulations for the conduct of their respective businesses as currently conducted, except where the failure to possess such permits, licenses, approvals or authorizations would not, individually or in the aggregate, have a Material Adverse Effect. To the extent required by applicable law, the Company has made, obtained or completed all filings, reports, registrations, notices, clearances, approvals, permits and other actions required by any governmental or regulatory authority in the PRC under the China Securities Regulatory Commission (the “CSRC”) and the Cyberspace Administration of China in connection with this Agreement, the Registration Statement, the Prospectus Supplement, the issuance of the Placement Shares and the sale of Placement Shares.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(ccc) </w:t>
      </w:r>
      <w:r>
        <w:rPr>
          <w:rFonts w:ascii="Times New Roman;Times;Serif" w:hAnsi="Times New Roman;Times;Serif"/>
          <w:b w:val="false"/>
          <w:i w:val="false"/>
          <w:caps w:val="false"/>
          <w:smallCaps w:val="false"/>
          <w:sz w:val="20"/>
          <w:u w:val="single"/>
        </w:rPr>
        <w:t>PRC Export Controls</w:t>
      </w:r>
      <w:r>
        <w:rPr>
          <w:rFonts w:ascii="Times New Roman;Times;Serif" w:hAnsi="Times New Roman;Times;Serif"/>
          <w:b w:val="false"/>
          <w:i w:val="false"/>
          <w:caps w:val="false"/>
          <w:smallCaps w:val="false"/>
          <w:sz w:val="20"/>
        </w:rPr>
        <w:t>. To the knowledge of Company, neither the Company nor any Subsidiary is in violation of any applicable export control laws or regulations of the PRC, the United States or any other applicable jurisdiction, including without limitation the Export Administration Regulations administered by the U.S. Department of Commerce, except where such violation would not, individually or in the aggregate, have a Material Adverse Effect. Neither the Company nor any Subsidiary has received any written notice from any governmental authority regarding any actual or alleged violation of, or failure to comply with, any export control laws or regulations.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(ddd) </w:t>
      </w:r>
      <w:r>
        <w:rPr>
          <w:rFonts w:ascii="Times New Roman;Times;Serif" w:hAnsi="Times New Roman;Times;Serif"/>
          <w:b w:val="false"/>
          <w:i w:val="false"/>
          <w:caps w:val="false"/>
          <w:smallCaps w:val="false"/>
          <w:sz w:val="20"/>
          <w:u w:val="single"/>
        </w:rPr>
        <w:t>Cayman Islands Good Standing</w:t>
      </w:r>
      <w:r>
        <w:rPr>
          <w:rFonts w:ascii="Times New Roman;Times;Serif" w:hAnsi="Times New Roman;Times;Serif"/>
          <w:b w:val="false"/>
          <w:i w:val="false"/>
          <w:caps w:val="false"/>
          <w:smallCaps w:val="false"/>
          <w:sz w:val="20"/>
        </w:rPr>
        <w:t>. The Company is duly incorporated, validly existing and in good standing under the laws of the Cayman Islands. No petition or proceeding has been presented or commenced, and no order has been made, and no resolution has been passed, for the winding-up of the Company or for the appointment of a provisional liquidator, receiver or similar officer over the Company or any of its assets. No receiver, trustee, administrator, administrative receiver or similar officer has been appointed over the Company or any of its assets. The Company is not the subject of any insolvency or bankruptcy proceedings in the Cayman Islands or elsewhere.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(eee) </w:t>
      </w:r>
      <w:r>
        <w:rPr>
          <w:rFonts w:ascii="Times New Roman;Times;Serif" w:hAnsi="Times New Roman;Times;Serif"/>
          <w:b w:val="false"/>
          <w:i w:val="false"/>
          <w:caps w:val="false"/>
          <w:smallCaps w:val="false"/>
          <w:sz w:val="20"/>
          <w:u w:val="single"/>
        </w:rPr>
        <w:t>Product Compliance</w:t>
      </w:r>
      <w:r>
        <w:rPr>
          <w:rFonts w:ascii="Times New Roman;Times;Serif" w:hAnsi="Times New Roman;Times;Serif"/>
          <w:b w:val="false"/>
          <w:i w:val="false"/>
          <w:caps w:val="false"/>
          <w:smallCaps w:val="false"/>
          <w:sz w:val="20"/>
        </w:rPr>
        <w:t>. The Company’s products have been designed, manufactured, tested, and marketed in compliance with applicable product safety laws, regulations, and industry standards, including without limitation any applicable certifications required for commercial sale in the markets in which the Company operates, except where the failure to be in such compliance would not, individually or in the aggregate, have a Material Adverse Effect. Neither the Company nor any Subsidiary has received any written notice from any governmental or regulatory authority alleging a material violation of any product safety laws or regulations.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(fff) </w:t>
      </w:r>
      <w:r>
        <w:rPr>
          <w:rFonts w:ascii="Times New Roman;Times;Serif" w:hAnsi="Times New Roman;Times;Serif"/>
          <w:b w:val="false"/>
          <w:i w:val="false"/>
          <w:caps w:val="false"/>
          <w:smallCaps w:val="false"/>
          <w:sz w:val="20"/>
          <w:u w:val="single"/>
        </w:rPr>
        <w:t>Equity Incentive Plan</w:t>
      </w:r>
      <w:r>
        <w:rPr>
          <w:rFonts w:ascii="Times New Roman;Times;Serif" w:hAnsi="Times New Roman;Times;Serif"/>
          <w:b w:val="false"/>
          <w:i w:val="false"/>
          <w:caps w:val="false"/>
          <w:smallCaps w:val="false"/>
          <w:sz w:val="20"/>
        </w:rPr>
        <w:t>. The Company has adopted the ZJK Industrial Co., Ltd. 2025 Equity Incentive Plan (the “</w:t>
      </w:r>
      <w:r>
        <w:rPr>
          <w:rFonts w:ascii="Times New Roman;Times;Serif" w:hAnsi="Times New Roman;Times;Serif"/>
          <w:b w:val="false"/>
          <w:i w:val="false"/>
          <w:caps w:val="false"/>
          <w:smallCaps w:val="false"/>
          <w:sz w:val="20"/>
          <w:u w:val="single"/>
        </w:rPr>
        <w:t>2025 Plan</w:t>
      </w:r>
      <w:r>
        <w:rPr>
          <w:rFonts w:ascii="Times New Roman;Times;Serif" w:hAnsi="Times New Roman;Times;Serif"/>
          <w:b w:val="false"/>
          <w:i w:val="false"/>
          <w:caps w:val="false"/>
          <w:smallCaps w:val="false"/>
          <w:sz w:val="20"/>
        </w:rPr>
        <w:t>”), pursuant to which 6,000,000 Ordinary Shares have been registered for issuance on Form S-8 (File No. 333-286834). The 2025 Plan has been duly authorized by all necessary corporate action. All equity awards granted under the 2025 Plan have been duly authorized and, to the extent exercised or settled, the Ordinary</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Shares issued pursuant thereto have been validly issued, fully paid and nonassessable. The Company has reserved a sufficient number of Ordinary Shares for issuance upon the exercise or settlement of all outstanding awards under the 2025 Plan. Except as disclosed in the Registration Statement or the Prospectus, there are no outstanding awards, and no awards are issuable, under the 2025 Plan or any other equity incentive plan of the Company that, together with the Placement Shares, would exceed the number of authorized but unissued and unreserved Ordinary Shares of the Company. The Registration Statement and the Prospectus accurately describe, in all material respects, the terms of the 2025 Plan and all outstanding awards thereunder.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the Agent that: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(the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(i) the Company will notify the Agent promptly of the time when any subsequent amendment to the Registration Statement, other than Incorporated Documents, has been filed with the Commission and/or has become effective or any subsequent supplement to the Prospectus has been filed and of any request by the Commission for any amendment or supplement to the Registration Statement or Prospectus related to the Placement Shares or for additional information related to the transactions contemplated hereby, (ii) the Company will prepare and file with the Commission, promptly upon the Agent’s reasonable request, any amendments or supplements to the Registration Statement or Prospectus that, upon the advice of the Company’s legal counsel, may be necessary or advisable in connection with the distribution of the Placement Shares by the Agent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only remedy the Agent shall have with respect to the failure to make such filing (but without limiting the Agent’s rights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(other than an Incorporated Document) unless a copy thereof has been submitted to the Agent within a reasonable period of time before the filing and the Agent has not reasonably objected in writing thereto within two (2) Business Days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the failure of the Agent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the filing does not name the Agent or does not relate to the transaction herein provided;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only remedy the Agent shall have with respect to the failure by the Company to obtain such consent (but without limiting the Agent’s rights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shall be to cease making sales under this Agreement if the Company fails to provide the Agent with such copy prior to filing, or files such amendment or supplement despite the Agent’s reasonable objection)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Incorporated Documents, to be filed with the Commission as required pursuant to the applicable paragraph of Rule 424(b) of the Securities Act or, in the case of any Incorporated Document, to be filed with the Commission as required pursuant to the Exchange Act, within the time period prescribed (the determination to file or not file any amendment or supplement with the Commission under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based on the Company’s reasonable opinion or reasonable objections, shall be made exclusively by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the Prospectus Delivery Period, the Company will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the Prospectus Delivery Period the Company has omitted any information from the Registration Statement pursuant to Rule 430A under the Securities Act, it will use its commercially reasonable efforts to comply with the provisions of and make all requisite filings with the Commission pursuant to said Rule 430A and to notify the Agent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delay the filing of any such amendment or supplement only to the extent the Company determines in good faith, upon advice of counsel, that such delay is necessary to comply with applicable law, and provided further that during any such delay (and until such amendment or supplement is filed (and, if required, declared effective)), no Placement Notice shall be delivered and the Agent shall have no obligation to sell any Placement Shares hereunder.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xml:space="preserve">. During the Prospectus Delivery Period, the Company will use its commercially reasonable efforts to cause the Placement Shares to be listed on the Exchange and to qualify the Placement Shares for sale under the securities laws of such jurisdictions in the United States as the Agent reasonably designate and to continue such qualifications in effect so long as required for the distribution of the Placement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in connection therewith to qualify as a foreign corporation or dealer in securities, file a general consent to service of process, or subject itself to taxation in any jurisdiction if it is not otherwise so subject.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the Agent and its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to furnish any document (other than the Prospectus) to the Agent to the extent such document is available on EDGAR.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15 months after the end of the Company’s current fiscal year, an earnings statement covering a 12-month period that satisfies the provisions of Section 11(a) and Rule 158 of the Securities Act, which requirement may be satisfied by publicly filing the required information on EDGAR.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The Company (I) shall provide the Agent notice at least two (2) Trading Days before it offers, sells, contracts to sell, grants any option to sell or otherwise disposes of any Ordinary Shares (other than the Placement Shares offered pursuant to this Agreement) or securities convertible into or exchangeable for Ordinary Shares, warrants or any rights to purchase or acquire Ordinary Shares during the period beginning on the date on which any Placement Notice is delivered to the Agent hereunder and ending on the third (3rd) Trading Day immediately after the final Settlement Date with respect to Placement Shares sold pursuant to such Placement Notice (or, if the Placement Notice has been terminated or suspended prior to the sale of all Placement Shares covered by a Placement Notice, the date of such suspension or termination), and (II) will not directly or indirectly in any other “at the market” or continuous equity transaction offer to sell, sell, contract to sell, grant any option to sell or otherwise dispose of any Ordinary Shares (other than the Placement Shares offered pursuant to this Agreement) or securities convertible into or exchangeable for Ordinary Shares, warrants or any rights to purchase or acquire Ordinary Shares prior to the termination of this Agreement without the prior written consent of the Agent; provided, however, that such restrictions will not apply in connection with the Company’s issuance, grant or sale of (i) Ordinary Shares, options to purchase Ordinary Shares or Ordinary Shares issuable upon the exercise of options or the exercise or vesting of other equity awards, pursuant to any stock option, other equity incentive plan or benefits plan, stock ownership plan or dividend reinvestment plan (but not Ordinary Shares subject to a waiver to exceed plan limits in its dividend reinvestment plan) of the Company whether now in effect or hereafter implemented; (ii) Ordinary Shares issuable upon conversion of securities or the exercise of warrants, options or other rights in effect or outstanding, and disclosed in filings by the Company available on EDGAR or otherwise in writing, to the Agent, (iii) Ordinary Shares, or securities convertible into or exercisable for Ordinary Shares, offered and sold in a privately negotiated transaction to vendors, customers, strategic partners or potential strategic partners or other investors conducted in a manner so as not to be integrated with the offering of Ordinary Shares hereby and (iv) Ordinary Shares in connection with any acquisition, strategic investment or other similar transaction (including any joint venture, strategic alliance or partnership). For avoidance of doubt, nothing herein shall be construed to restrict the Company’s ability, or require the Company to provide notice to the Agent, to file a registration statement with the Commission. Notwithstanding the foregoing, the Company shall provide the Agent notice at least three (3) Business Days prior to commencing any private or public offerings of equity and/or other securities, including debt securities, in one or more transactions.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 The Company shall promptly notify the Agent of any restatement, non-reliance determination, change in or disagreement with accountants, new material weakness or significant deficiency, audit committee investigation, late filing, or other material audit or financial reporting matter that could affect the accuracy of the Registration Statement or Prospectus or the Company’s ability to conduct the ATM Program.</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During the term of this Agreement,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agrees that on such dates as the Securities Act shall require, the Company will (i) file a prospectus supplement with the Commission under the applicable paragraph of Rule 424(b) under the Securities Act (each and every date a filing under Rule 424(b) is made, a “</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xml:space="preserve">”),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provided, that, the Company may satisfy its obligations under this </w:t>
      </w:r>
      <w:r>
        <w:rPr>
          <w:rFonts w:ascii="Times New Roman;Times;Serif" w:hAnsi="Times New Roman;Times;Serif"/>
          <w:b w:val="false"/>
          <w:i w:val="false"/>
          <w:caps w:val="false"/>
          <w:smallCaps w:val="false"/>
          <w:sz w:val="20"/>
          <w:u w:val="single"/>
        </w:rPr>
        <w:t>Section 7(k)</w:t>
      </w:r>
      <w:r>
        <w:rPr>
          <w:rFonts w:ascii="Times New Roman;Times;Serif" w:hAnsi="Times New Roman;Times;Serif"/>
          <w:b w:val="false"/>
          <w:i w:val="false"/>
          <w:caps w:val="false"/>
          <w:smallCaps w:val="false"/>
          <w:sz w:val="20"/>
        </w:rPr>
        <w:t xml:space="preserve"> by effecting a filing in accordance with the Exchange Act with respect to such information.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Each time during the term of this Agreement that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amends or supplements (other than a prospectus supplement relating solely to an offering of securities other than the Placement Shares or a prospectus supplement filed in accordance with </w:t>
      </w:r>
      <w:r>
        <w:rPr>
          <w:rFonts w:ascii="Times New Roman;Times;Serif" w:hAnsi="Times New Roman;Times;Serif"/>
          <w:b w:val="false"/>
          <w:i w:val="false"/>
          <w:caps w:val="false"/>
          <w:smallCaps w:val="false"/>
          <w:sz w:val="20"/>
          <w:u w:val="single"/>
        </w:rPr>
        <w:t>Section 7(k)</w:t>
      </w:r>
      <w:r>
        <w:rPr>
          <w:rFonts w:ascii="Times New Roman;Times;Serif" w:hAnsi="Times New Roman;Times;Serif"/>
          <w:b w:val="false"/>
          <w:i w:val="false"/>
          <w:caps w:val="false"/>
          <w:smallCaps w:val="false"/>
          <w:sz w:val="20"/>
        </w:rPr>
        <w:t xml:space="preserve"> of this Agreement)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pStyle w:val="TextBody"/>
        <w:bidi w:val="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files an annual report on Form 20-F under the Exchange Act (including any Form 20-F/A containing amended audited financial information or a material amendment to the previously filed Form 20-F);</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files a current report on Form 6-K containing unaudited interim financial statements under the Exchange Act incorporated by reference into the Registration Statement or Prospectus; or</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files a current report on Form 6-K containing amended financial information under the Exchange Act;</w:t>
      </w:r>
    </w:p>
    <w:p>
      <w:pPr>
        <w:pStyle w:val="TextBody"/>
        <w:bidi w:val="0"/>
        <w:ind w:left="0" w:right="0" w:firstLine="21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date of filing of one or more of the documents referred to in clauses (i) through (iv) shall be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furnish the Agent (but in the case of clause (iv) above only if the Agent reasonably determine that the information contained in such Form 6-K is material) with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xml:space="preserve"> within five (5) Trading Days of any Representation Date. The requirement to provide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shall be automatically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20-F. Notwithstanding the foregoing, (i) upon the delivery of the first Placement Notice hereunder and (ii) if the Company subsequently decides to sell Placement Shares following a Representation Date when the Company relied on such waiver and did not provide the Agent with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then before the Agent sells any Placement Shares, the Company shall provide the Agent with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dated the date of the Placement Notice.</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On or prior to the date of the first Placement Notice given hereunder the Company shall cause to be furnished to the Agent (i) a written opinion and a negative assurance letter of Loeb &amp; Loeb LLP (“</w:t>
      </w:r>
      <w:r>
        <w:rPr>
          <w:rFonts w:ascii="Times New Roman;Times;Serif" w:hAnsi="Times New Roman;Times;Serif"/>
          <w:b w:val="false"/>
          <w:i w:val="false"/>
          <w:caps w:val="false"/>
          <w:smallCaps w:val="false"/>
          <w:sz w:val="20"/>
          <w:u w:val="single"/>
        </w:rPr>
        <w:t>Company US Counsel</w:t>
      </w:r>
      <w:r>
        <w:rPr>
          <w:rFonts w:ascii="Times New Roman;Times;Serif" w:hAnsi="Times New Roman;Times;Serif"/>
          <w:b w:val="false"/>
          <w:i w:val="false"/>
          <w:caps w:val="false"/>
          <w:smallCaps w:val="false"/>
          <w:sz w:val="20"/>
        </w:rPr>
        <w:t>”), (ii) a written opinion of Ogier (Cayman) LLP (“</w:t>
      </w:r>
      <w:r>
        <w:rPr>
          <w:rFonts w:ascii="Times New Roman;Times;Serif" w:hAnsi="Times New Roman;Times;Serif"/>
          <w:b w:val="false"/>
          <w:i w:val="false"/>
          <w:caps w:val="false"/>
          <w:smallCaps w:val="false"/>
          <w:sz w:val="20"/>
          <w:u w:val="single"/>
        </w:rPr>
        <w:t>Company Cayman Islands Counsel</w:t>
      </w:r>
      <w:r>
        <w:rPr>
          <w:rFonts w:ascii="Times New Roman;Times;Serif" w:hAnsi="Times New Roman;Times;Serif"/>
          <w:b w:val="false"/>
          <w:i w:val="false"/>
          <w:caps w:val="false"/>
          <w:smallCaps w:val="false"/>
          <w:sz w:val="20"/>
        </w:rPr>
        <w:t>”), and (iii) a written opinion of Global Law Office (“</w:t>
      </w:r>
      <w:r>
        <w:rPr>
          <w:rFonts w:ascii="Times New Roman;Times;Serif" w:hAnsi="Times New Roman;Times;Serif"/>
          <w:b w:val="false"/>
          <w:i w:val="false"/>
          <w:caps w:val="false"/>
          <w:smallCaps w:val="false"/>
          <w:sz w:val="20"/>
          <w:u w:val="single"/>
        </w:rPr>
        <w:t>Company PRC Counsel</w:t>
      </w:r>
      <w:r>
        <w:rPr>
          <w:rFonts w:ascii="Times New Roman;Times;Serif" w:hAnsi="Times New Roman;Times;Serif"/>
          <w:b w:val="false"/>
          <w:i w:val="false"/>
          <w:caps w:val="false"/>
          <w:smallCaps w:val="false"/>
          <w:sz w:val="20"/>
        </w:rPr>
        <w:t>,” and together with Company US Counsel and Company Cayman Islands Counsel, the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or other counsel reasonably satisfactory to the Agent, each in form and substance reasonably satisfactory to the Agent. Thereafter, within five (5) Trading Days of each Representation Date with respect to which the Company is obligated to deliver a certificate in the form attached hereto as Exhibit 7(l) for which no waiver is applicable, the Company shall cause to be furnished to the Agent a negative assurance letter of Company US Counsel, substantially in the forms previously delivered to and accepted by the Agent, modified, as necessary, to relate to the Registration Statement and the Prospectus as then amended or supplemented, and, if reasonably requested by the Agent based on changes in law, facts, corporate authorization, share capital, listing status or other matters covered by the initial opinions, updated written opinions of applicable Company Counsel substantially in the forms previously delivered to and accepted by the Agent the Agent; provided that, in lieu of such legal opinion or negative assurance letter for subsequent periodic filings under the Exchange Act, such Company Counsel may furnish the Agent with a letter (a “</w:t>
      </w:r>
      <w:r>
        <w:rPr>
          <w:rFonts w:ascii="Times New Roman;Times;Serif" w:hAnsi="Times New Roman;Times;Serif"/>
          <w:b w:val="false"/>
          <w:i w:val="false"/>
          <w:caps w:val="false"/>
          <w:smallCaps w:val="false"/>
          <w:sz w:val="20"/>
          <w:u w:val="single"/>
        </w:rPr>
        <w:t>Reliance Letter</w:t>
      </w:r>
      <w:r>
        <w:rPr>
          <w:rFonts w:ascii="Times New Roman;Times;Serif" w:hAnsi="Times New Roman;Times;Serif"/>
          <w:b w:val="false"/>
          <w:i w:val="false"/>
          <w:caps w:val="false"/>
          <w:smallCaps w:val="false"/>
          <w:sz w:val="20"/>
        </w:rPr>
        <w:t>”) to the effect that the Agent may rely on the legal opinion or negative assurance letter previously delivered under this Section 7(m) to the same extent as if it were dated the date of such letter (except that statements in such prior letter shall be deemed to relate to the Registration Statement and the Prospectus as amended or supplemented as of the date of the Reliance Letter).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On or prior to the date of the first Placement Notice given hereunder and within five (5) Trading Days after each subsequent Representation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xml:space="preserve"> for which no waiver is applicable, other than pursuant to Section 7(l)(iii) or Section 7(l)(iv), unless with respect to a Representation Date under Section 7(l)(iii) or Section 7(l)(iv) the Agent reasonably requests delivery thereof, the Company shall cause the Accountants to furnish the Agent letters (the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xml:space="preserve">”), dated the date the Comfort Letter is delivered, which shall meet the requirements set forth in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The Comfort Letter from the Accountants shall be in a form and substance reasonably satisfactory to the Agent, (i) confirming that they are an independent public accounting firm within the meaning of the Securities Act and the Public Company Accounting Oversight Board (the “</w:t>
      </w:r>
      <w:r>
        <w:rPr>
          <w:rFonts w:ascii="Times New Roman;Times;Serif" w:hAnsi="Times New Roman;Times;Serif"/>
          <w:b w:val="false"/>
          <w:i w:val="false"/>
          <w:caps w:val="false"/>
          <w:smallCaps w:val="false"/>
          <w:sz w:val="20"/>
          <w:u w:val="single"/>
        </w:rPr>
        <w:t>PCAOB</w:t>
      </w:r>
      <w:r>
        <w:rPr>
          <w:rFonts w:ascii="Times New Roman;Times;Serif" w:hAnsi="Times New Roman;Times;Serif"/>
          <w:b w:val="false"/>
          <w:i w:val="false"/>
          <w:caps w:val="false"/>
          <w:smallCaps w:val="false"/>
          <w:sz w:val="20"/>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Times;Serif" w:hAnsi="Times New Roman;Times;Serif"/>
          <w:b w:val="false"/>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would constitute, the stabilization or manipulation of the price of any security of the Company to facilitate the sale or resale of the Placement Shares or (ii) sell, bid for, or purchase Ordinary Shares to be issued and sold pursuant to this Agreement in violation of Regulation M, or pay anyone any compensation for soliciting purchases of the Placement Shares other than the Agent. The Company shall not engage in stabilization, price support, coordinated aftermarket activity, market manipulation, wash trading, matched orders, directed trading, coordinated investor communication or any other activity designed to influence the trading price or volume of the Ordinary Shares in connection with the ATM Program. The Company shall not influence trading behavior, encourage trading through informal or off-channel communications, compensate any person for soliciting purchases of the Placement Shares other than the Agent as expressly permitted by this Agreement, or take any action that would reasonably be expected to violate Regulation M, FINRA rules, Nasdaq rules, the Securities Act, the Exchange Act, PRC law, Cayman Islands law or any other applicable securities law. The Company will not (i) provide the Agent with any targeted investor list, (ii) direct sales to specific persons, accounts or groups, (iii) coordinate investor participation in the ATM Program, (iv) encourage or arrange purchases by affiliates, related parties, officers, directors, employees, consultants, promoters, vendors, customers or strategic partners, or (v) use any nominee, omnibus, pass-through or coordinated account structure to facilitate purchases of Placement Shares or trading in the Ordinary Shares. The Company shall promptly disclose to the Agent any knowledge of unusual investor concentration, coordinated trading behavior, promotional activity, off-channel communications encouraging trading, or any third-party activity that could affect orderly trading in the Ordinary Shares. The Company shall not request any action by the Agent that the Company knows or reasonably should know would violate Regulation M, FINRA rules, Nasdaq rules, the Securities Act, the Exchange Act, or other applicable securities laws.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neither it nor the Subsidiaries will be or become, at any time prior to the termination of this Agreement, an “investment company,” as such term is defined in the Investment Company Act.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xml:space="preserve">. Other than an Issuer Free Writing Prospectus approved in advance by the Company and the Agent in its capacity as agent hereunder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neither the Agent nor the Company (including its agents and representatives, other than the Agent in its capacity as such) will make, use, prepare, authorize, approve or refer to any written communication (as defined in Rule 405), required to be filed with the Commission, that constitutes an offer to sell or solicitation of an offer to buy Placement Shares hereunder.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disclosure controls and procedures that comply with the requirements of the Exchange Act.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FINRA Rule 5110</w:t>
      </w:r>
      <w:r>
        <w:rPr>
          <w:rFonts w:ascii="Times New Roman;Times;Serif" w:hAnsi="Times New Roman;Times;Serif"/>
          <w:b w:val="false"/>
          <w:i w:val="false"/>
          <w:caps w:val="false"/>
          <w:smallCaps w:val="false"/>
          <w:sz w:val="20"/>
        </w:rPr>
        <w:t>. Prior to the first sale of Placement Shares and at any other time reasonably requested by the Agent, the Company shall provide the Agent with written confirmation from the Company or Company counsel, in form and substance reasonably satisfactory to the Agent, that either (i) the Company qualifies as an “experienced issuer” under FINRA Rule 5110(j), or (ii) any FINRA filing, notice, review, no-objections process or other action required in connection with the ATM Program has been completed, cleared, waived or is not required. The Company shall promptly provide the Agent with all information reasonably requested by the Agent or its counsel to verify the Company’s FINRA Rule 5110 status, including information regarding the Company’s reporting history, non-affiliate market value, trading volume, prior public offerings, offering compensation, related arrangements, reimbursable expenses and any other item relevant to FINRA underwriting compensation analysis.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PRC, CSRC and Overseas Offering Compliance</w:t>
      </w:r>
      <w:r>
        <w:rPr>
          <w:rFonts w:ascii="Times New Roman;Times;Serif" w:hAnsi="Times New Roman;Times;Serif"/>
          <w:b w:val="false"/>
          <w:i w:val="false"/>
          <w:caps w:val="false"/>
          <w:smallCaps w:val="false"/>
          <w:sz w:val="20"/>
        </w:rPr>
        <w:t>. The Company shall promptly notify the Agent of any PRC regulatory inquiry, request for information, adverse communication, change in applicable law, threatened enforcement action or other event that could affect the Company’s ability to conduct the ATM Program or could make the Registration Statement, Prospectus or Prospectus Supplement inaccurate or misleading. To the extent required by applicable law, the Company will timely make, obtain or complete all filings, reports, registrations, notices, clearances, approvals, permits and other actions required by any governmental or regulatory authority in the PRC under the CSRC and the Cyberspace Administration of China in connection with this Agreement, the Registration Statement, the Prospectus Supplement, the issuance of the Placement Shares and the sale of Placement Shares from time to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Social Media and Promotion Restrictions</w:t>
      </w:r>
      <w:r>
        <w:rPr>
          <w:rFonts w:ascii="Times New Roman;Times;Serif" w:hAnsi="Times New Roman;Times;Serif"/>
          <w:b w:val="false"/>
          <w:i w:val="false"/>
          <w:caps w:val="false"/>
          <w:smallCaps w:val="false"/>
          <w:sz w:val="20"/>
        </w:rPr>
        <w:t>. The Company shall not engage in coordinated social media promotion campaigns, group-based trading inducement, issuer-sponsored investor groups, undisclosed third-party marketing efforts, paid touting, promotional newsletters, online chatroom campaigns, or other communications through social media or messaging platforms for the purpose of encouraging trading in the Ordinary Shares or facilitating sale under the ATM Program; provided that the Company shall not be prohibited or restricted from publishing, releasing or disseminating any press release, statement or report regarding its business, financial condition, results of operation, cash flows and prospects in the ordinary course of business. The Company shall promptly notify the Agent of any known promotional activity, third-party communications encouraging trading, rumor-based trading, influencer activity, online campaign, trading group activity or issuer-related social media activity relating to the Ordinary Shares or the ATM Program, whether or not initiated or authorized by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Representations and Covenants of the Agent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represents and warrants that it is duly registered as a broker-dealer under FINRA, the Exchange Act and the applicable statutes and regulations of each state in which the Placement Shares will be offered and sold, except such states in which such Agent is exempt from registration or such registration is not otherwise required. The Agent shall continue, for the term of this Agreement, to be duly registered as a broker-dealer under FINRA, the Exchange Act and the applicable statutes and regulations of each state in which the Placement Shares will be offered and sold, except such states in which it is exempt from registration or such registration is not otherwise required, during the term of this Agreement. The Agent shall comply with all applicable law and regulations in connection with the transactions contemplated by this Agreement, including the issuance and sale through such Agent of the Placement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Agent shall not execute privately negotiated transactions, block trades, agency crosses, principal transactions or other non-open-market transactions in lieu of open market sales unless (i) the Company has provided prior written consent, which may be by email, (ii) the Agent has determined, in its reasonable judgment, that such execution is permitted by this Agreement, the Registration Statement, the Prospectus, the Prospectus Supplement, Rule 415, Nasdaq rules, FINRA rules and applicable law, (iii) all required regulatory approvals and internal approvals have been obtained, and (iv) if principal capacity would be involved, the Agent has delivered a Principal Capacity Notice and the parties have agreed in writing to the relevant principal transaction terms. To the extent any alternative execution is permitted and mutually agreed, the Agent shall seek to obtain pricing terms comparable to or better than prevailing open market prices, taking into account liquidity, block size, market conditions, transaction structure, investor demand and regulatory requirements. Nothing in this Section 8(b) shall permit directed selling, Company-coordinated investors, undisclosed investor arrangements, stabilization, market manipulation, or any activity inconsistent with this Agreement, Regulation M, FINRA rules, Nasdaq rules or applicable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shall keep the Company reasonably informed of material changes in market conditions known to the Agent that may affect the execution of Placement Notices, to the extent the Agent is not prohibited from doing so by applicable law, regulation, regulatory instruction, confidentiality obligation or supervisory procedure.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Agent shall provide the Company with weekly summary reports and such other reports as may be reasonably requested by the Company from time to time, subject to applicable law, regulation, regulatory instruction, confidentiality obligations, clearing broker requirements and the Agent’s supervisory procedures.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Agent shall not exercise its discretionary rights hereunder in a manner that is arbitrary, capricious, or designed to frustrate the Company’s legitimate financing objectives, subject in all cases to the Agent’s regulatory obligations, supervisory procedures, market conditions, clearing requirements and risk-management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xml:space="preserve">. The Company will pay all expenses incidental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Free Writing Prospectus, in such number as the Agent shall deem reasonably necessary, (ii) the printing and delivery to the Agent of this Agreement and such other documents as may be required in connection with the offering, purchase, sale or issuance of the Placement Shares, (iii) the preparation, issuance and delivery of the certificates, if any, for the Placement Shares to the Agent, including any stock or other transfer taxes and any capital duties, stamp duties or other duties or taxes payable upon the sale or issuance of the Placement Shares to the Agent, (iv) the fees and disbursements of the counsel, accountants and other advisors to the Company, (v) the reasonable and documented out-of-pocket fees and disbursements of counsel to the Agent (A) not to exceed $100,000 in connection with the negotiation, execution and initial implementation of this Agreement and the transactions contemplated hereby, and (B) not to exceed $10,000 for each Representation Date with respect to which the Company is required to provide a certificate under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together with any related opinions, negative assurance letters, reliance letters, comfort letters or other deliverables required under </w:t>
      </w:r>
      <w:r>
        <w:rPr>
          <w:rFonts w:ascii="Times New Roman;Times;Serif" w:hAnsi="Times New Roman;Times;Serif"/>
          <w:b w:val="false"/>
          <w:i w:val="false"/>
          <w:caps w:val="false"/>
          <w:smallCaps w:val="false"/>
          <w:sz w:val="20"/>
          <w:u w:val="single"/>
        </w:rPr>
        <w:t>Sections 7(m)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with such amount payable upon each such Representation Date and not in arrears; provided that amounts payable under clause (v)(B) are separate from, and not subject to, the cap set forth in clause (v)(A), (vi) the fees and expenses of the transfer agent and registrar for the Ordinary Shares, (vii) the filing fees incident to any review by FINRA of the terms of the sale of the Placement Shares, (viii) the fees and expenses incurred in connection with the listing of the Placement Shares on the Exchange. The Company paid a one-time non-refundable engagement fee of $50,000 to the Agent which shall be credited against reimbursement of fees and disbursements of counsel to the Agent pursuant to this Section 9. In addition, the Company shall pay to the Agent, upon each sale of Placement Shares pursuant to this Agreement, an amount equal to US$0.02 per Ordinary Share sold (the “</w:t>
      </w:r>
      <w:r>
        <w:rPr>
          <w:rFonts w:ascii="Times New Roman;Times;Serif" w:hAnsi="Times New Roman;Times;Serif"/>
          <w:b w:val="false"/>
          <w:i w:val="false"/>
          <w:caps w:val="false"/>
          <w:smallCaps w:val="false"/>
          <w:sz w:val="20"/>
          <w:u w:val="single"/>
        </w:rPr>
        <w:t>Per Share Fee</w:t>
      </w:r>
      <w:r>
        <w:rPr>
          <w:rFonts w:ascii="Times New Roman;Times;Serif" w:hAnsi="Times New Roman;Times;Serif"/>
          <w:b w:val="false"/>
          <w:i w:val="false"/>
          <w:caps w:val="false"/>
          <w:smallCaps w:val="false"/>
          <w:sz w:val="20"/>
        </w:rPr>
        <w:t>”). The Per Share Fee shall cover the Agent’s clearing costs and shall be reflected on the applicable settlement statement and paid by the Company by invoice or through the executing/clearing broker’s standard commission billing process.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Conditions to the Agent’s Obligations</w:t>
      </w:r>
      <w:r>
        <w:rPr>
          <w:rFonts w:ascii="Times New Roman;Times;Serif" w:hAnsi="Times New Roman;Times;Serif"/>
          <w:b w:val="false"/>
          <w:i w:val="false"/>
          <w:caps w:val="false"/>
          <w:smallCaps w:val="false"/>
          <w:sz w:val="20"/>
        </w:rPr>
        <w:t>. The obligations of the Agent hereunder with respect to a Placement will be subject to the continuing accuracy and completeness of the representations and warranties made by the Company herein (other than those representations and warranties made as of a specified date or time), to the due performance in all material respects by the Company of its obligations hereunder, to the completion by the Agent of a due diligence review satisfactory to it in its reasonable judgment, and to the continuing reasonable satisfaction (or waiver by the Agent in its sole discretion) of the following additional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be effective and shall be available for the sale of all Placement Shares contemplated to be issued by any Placement Notice.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Shares for sale in any jurisdiction or receipt by the Company of notification of the initiation of, or a threat to initiate,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any material Incorporated Document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or any material Incorporated Document, it will not contain any materially untrue statement of a material fact or omit to state any material fact required to be stated therein or necessary to make the statements therein, in the light of the circumstances under which they were made, not misleading.</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Effect, or any development that would cause a Material Adverse Effect, or a downgrading in or withdrawal of the rating assigned to any of the Company’s securities (other than asset backed securities) by any “nationally recognized statistical rating organization,” as such term is defined by the Commission for purposes of Rule 436(g)(2) under the Securities Act (a “</w:t>
      </w:r>
      <w:r>
        <w:rPr>
          <w:rFonts w:ascii="Times New Roman;Times;Serif" w:hAnsi="Times New Roman;Times;Serif"/>
          <w:b w:val="false"/>
          <w:i w:val="false"/>
          <w:caps w:val="false"/>
          <w:smallCaps w:val="false"/>
          <w:sz w:val="20"/>
          <w:u w:val="single"/>
        </w:rPr>
        <w:t>Rating Organization</w:t>
      </w:r>
      <w:r>
        <w:rPr>
          <w:rFonts w:ascii="Times New Roman;Times;Serif" w:hAnsi="Times New Roman;Times;Serif"/>
          <w:b w:val="false"/>
          <w:i w:val="false"/>
          <w:caps w:val="false"/>
          <w:smallCaps w:val="false"/>
          <w:sz w:val="20"/>
        </w:rPr>
        <w:t>”),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Company Counsel Legal Opinion</w:t>
      </w:r>
      <w:r>
        <w:rPr>
          <w:rFonts w:ascii="Times New Roman;Times;Serif" w:hAnsi="Times New Roman;Times;Serif"/>
          <w:b w:val="false"/>
          <w:i w:val="false"/>
          <w:caps w:val="false"/>
          <w:smallCaps w:val="false"/>
          <w:sz w:val="20"/>
        </w:rPr>
        <w:t xml:space="preserve">. The Agent shall have received the opinion and negative assurance letter of Company Counsel required to be delivered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on or before the date on which such delivery of such opinion and negative assurance letter are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The Agent shall have received the Comfort Letter required to be delivered pursuant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such delivery of such letter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The Agent shall have received the certificate required to be delivered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On or prior to the first Representation Date, the Agent shall have received a certificate, signed on behalf of the Company by an officer of the Company, in form and substance reasonably satisfactory to the Agent and its counsel.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Ordinary Shares shall not have been suspended on the Exchange and the Ordinary Shares shall not have been delisted from the Exchange.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the Company shall have furnished to the Agent such appropriate further information, certificates and documents as the Agent may reasonably request and which are usually and customarily furnished by an issuer of securities in connection with a securities offering of the type contemplated hereby. All such opinions, certificates, letters and other documents will be in compliance with the provisions 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the Agent to terminate this Agreement pursuant to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the Agent, its partners, members, directors, officers, employees and agents and each person, if any, who controls the Agent within the meaning of Section 15 of the Securities Act or Section 20 of the Exchange Act as follows: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against any and all loss, liability, claim, damage and expense,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below) any such settlement is effected with the written consent of the Company, which consent shall not unreasonably be delayed or withheld; and</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and all expense, as incurred (including the reasonable and documented out-of-pocket fees and disbursements of counsel), reasonably incurred in investigating, preparing or defending against any litigation, or any investigation or proceeding by any governmental agency or body, commenced or threatened, or any claim based upon any such untrue statement or omission, or any such alleged untrue statement or omission, to the extent that any such expense is not paid under (i) or (ii) above,</w:t>
      </w:r>
    </w:p>
    <w:p>
      <w:pPr>
        <w:pStyle w:val="TextBody"/>
        <w:bidi w:val="0"/>
        <w:ind w:left="0" w:right="0" w:firstLine="21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Sections 11(a)(i)-(iii) shall not apply to any loss, liability, claim, damage or expense to the extent arising out of any untrue statement or omission or alleged untrue statement or omission made solely in reliance upon and in conformity with written information furnished to the Company by any Agent expressly for use in the Registration Statement (or any amendment thereto), or in any related Issuer Free Writing Prospectus or the Prospectus (or any amendment or supplement thereto).</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the Agent</w:t>
      </w:r>
      <w:r>
        <w:rPr>
          <w:rFonts w:ascii="Times New Roman;Times;Serif" w:hAnsi="Times New Roman;Times;Serif"/>
          <w:b w:val="false"/>
          <w:i w:val="false"/>
          <w:caps w:val="false"/>
          <w:smallCaps w:val="false"/>
          <w:sz w:val="20"/>
        </w:rPr>
        <w:t xml:space="preserve">. The Agent agrees to indemnify and hold harmless the Company and its directors and officers,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as incurred, but only with respect to untrue statements or omissions, or alleged untrue statements or omissions, made in the Registration Statement (or any amendments thereto) or in any related Issuer Free Writing Prospectus or the Prospectus (or any amendment or supplement thereto) in reliance upon and in conformity with information relating to such Agent and furnished to the Company in writing by such Agent expressly for use therein.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Any party that proposes to assert the right to be indemnified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will, promptly after receipt of notice of commencement of any action against such party in respect of which a claim is to be made against an indemnifying party or parties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notify each such indemnifying party of the commencement of such action in writing, enclosing a copy of all papers served, but the omission so to notify such indemnifying party in writing will not relieve the indemnifying party from (i) any liability that it might have to any indemnified party otherwise than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(ii) any liability that it may have to any indemnified party under the foregoing provisions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as they are incurred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admitted to practice in such jurisdiction at any one time for all such indemnified party or parties. All such reasonable and documented out-of-pocket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is applicable in accordance with its terms but for any reason is held to be unavailable from the Company or the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or the Exchange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shall be deemed to include, for the purpose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any legal or other expenses reasonably incurred by such indemnified party in connection with investigating or defending any such action or claim to the extent consistent with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hereof. Notwithstanding the foregoing provisions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any person who controls a party</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to this Agreement within the meaning of the Securities Act or the Exchange Act, and any officers, directors, partners, employees or agents of the Agent, will have the same rights to contribution as that party, and each officer who signed the Registration Statement and director of the Company will have the same rights to contribution as the Company, subject in each case to the provisions hereof. Any party entitled to contribution, promptly after receipt of written notice of commencement of any action against such party in respect of which a claim for contribution may be made under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will notify in writing any such party or parties from whom contribution may be sought, but the omission to so notify will not relieve that party or parties from whom contribution may be sought from any other obligation it or they may have under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hereof, no party will be liable for contribution with respect to any action or claim settled without its written consent if such consent is required pursuant to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Non-Waiver Upon Receipt of Diligence</w:t>
      </w:r>
      <w:r>
        <w:rPr>
          <w:rFonts w:ascii="Times New Roman;Times;Serif" w:hAnsi="Times New Roman;Times;Serif"/>
          <w:b w:val="false"/>
          <w:i w:val="false"/>
          <w:caps w:val="false"/>
          <w:smallCaps w:val="false"/>
          <w:sz w:val="20"/>
        </w:rPr>
        <w:t xml:space="preserve">. The Agent’s receipt of certificates, opinions, comfort letters or other diligence materials shall not limit the Company’s indemnification obligations or waive any right of the Agent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The indemnity and contribution agreements contained in Section 11 of this Agreement and all representations and warranties of the Company herein or in certificates delivered pursuant hereto shall survive, regardless of (i) any investigation made by or on behalf of the Agent, any controlling persons, or the Company (or any of their respective officers, directors or controlling persons), (ii) acceptance of the Placement Shares and payment therefor or (iii) any termination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shall remain in full force and effect until terminated in accordance with this Section 13. The Agent may terminate this Agreement, by written notice to the Company, as hereinafter specified at any time (1) if there has been, since the time of execution of this Agreement or since the date as of which information is given in the Prospectus, any Material Adverse Effect, or any development that would have a Material Adverse Effect that, in the reasonable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Ordinary Shares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9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 If the Agent elects to terminate this Agreement as provided in this Section 13(a), such Agent shall provide the required written notice as specified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(Notices).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the right, by giving five (5) days’ notice as hereinafter specified to terminate this Agreement with respect to the Agent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Agent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issuance and sale of Placement Shares from time to time shall not, by itself, result in an automatic termination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shall remain in full force and effect unless terminated pursuant to </w:t>
      </w:r>
      <w:r>
        <w:rPr>
          <w:rFonts w:ascii="Times New Roman;Times;Serif" w:hAnsi="Times New Roman;Times;Serif"/>
          <w:b w:val="false"/>
          <w:i w:val="false"/>
          <w:caps w:val="false"/>
          <w:smallCaps w:val="false"/>
          <w:sz w:val="20"/>
          <w:u w:val="single"/>
        </w:rPr>
        <w:t>Sections 13(a)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or otherwise by mutual agreement of the parties;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shall remain in full force and effect. Upon termination of this Agreement, the Company shall not have any liability to the Agent for any discount, commission or other compensation with respect to any Placement Shares not otherwise sold by the Agent under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shall be effective on the date specified in such notice of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18" w:right="0" w:firstLine="70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Agent, shall be delivered to:</w:t>
      </w:r>
    </w:p>
    <w:p>
      <w:pPr>
        <w:pStyle w:val="TextBody"/>
        <w:bidi w:val="0"/>
        <w:ind w:left="18" w:right="0" w:firstLine="702"/>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Chaince Securities, LLC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41st Floor</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Wilfred Daye</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wilfred.daye@chaincesecurities.com</w:t>
      </w:r>
    </w:p>
    <w:p>
      <w:pPr>
        <w:pStyle w:val="TextBody"/>
        <w:bidi w:val="0"/>
        <w:ind w:left="144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Lucosky Brookman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Wood Avenue South, 5th Floor</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Woodbridge, NJ 08830</w:t>
      </w:r>
      <w:r>
        <w:rPr>
          <w:rFonts w:ascii="Times New Roman;Times;Serif" w:hAnsi="Times New Roman;Times;Serif"/>
          <w:b w:val="false"/>
          <w:i w:val="false"/>
          <w:caps w:val="false"/>
          <w:smallCaps w:val="false"/>
          <w:sz w:val="20"/>
          <w:shd w:fill="FFFF00" w:val="clear"/>
        </w:rPr>
        <w:br/>
      </w:r>
      <w:r>
        <w:rPr>
          <w:rFonts w:ascii="Times New Roman;Times;Serif" w:hAnsi="Times New Roman;Times;Serif"/>
          <w:b w:val="false"/>
          <w:i w:val="false"/>
          <w:caps w:val="false"/>
          <w:smallCaps w:val="false"/>
          <w:sz w:val="20"/>
        </w:rPr>
        <w:t>Attention: Joseph Lucosky</w:t>
        <w:br/>
        <w:t>Telephone: (732) 395-4400</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jlucoksy@lucbro.com</w:t>
      </w:r>
    </w:p>
    <w:p>
      <w:pPr>
        <w:pStyle w:val="TextBody"/>
        <w:bidi w:val="0"/>
        <w:ind w:left="144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No.8, Jingqiang Road, 138 Industrial Zone,</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Xiuxin Community, Kengzi Town,</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Pingshan New Area, Shenzhen</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 518122</w:t>
        <w:br/>
        <w:t>Attention: Ning Ding</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neal@zjk-industrial.com</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2206-19 Jardine House, 1 Connaught Place</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Hong Kong</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Henry Yin, Esq.</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Yao, Esq.</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henry.yin@loeb.com, byao@loeb.com</w:t>
      </w:r>
    </w:p>
    <w:p>
      <w:pPr>
        <w:pStyle w:val="TextBody"/>
        <w:bidi w:val="0"/>
        <w:ind w:left="144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other parties to this Agreement written notice of a new address for such purpose. Each such notice or other communication shall be deemed given (i) when delivered personally, by email, or by verifiable facsimile transmission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Exchange and commercial banks in the City of New York are open for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Agent and its successors and the affiliates, controlling persons, officers and directors referred to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the Agent may assign its rights or obligations under this Agreement without the prior written consent of the other party.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Adjustments for Share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share consolidation, share split, dividend, corporate domestication or similar event effected with respect to the Placement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GOVERNING LAW AND TIME; WAIVER OF JURY TRIAL</w:t>
      </w:r>
      <w:r>
        <w:rPr>
          <w:rFonts w:ascii="Times New Roman;Times;Serif" w:hAnsi="Times New Roman;Times;Serif"/>
          <w:b w:val="false"/>
          <w:i w:val="false"/>
          <w:caps w:val="false"/>
          <w:smallCaps w:val="false"/>
          <w:sz w:val="20"/>
        </w:rPr>
        <w:t>. THIS AGREEMENT SHALL BE GOVERNED BY AND CONSTRUED IN ACCORDANCE WITH THE LAWS OF THE STATE OF NEW YORK WITHOUT REGARD TO THE PRINCIPLES OF CONFLICTS OF LAWS. SPECIFIED TIMES OF DAY REFER TO NEW YORK CITY TIME. THE COMPANY AND THE AGENT EACH HEREBY IRREVOCABLY WAIVES, TO THE FULLEST EXTENT PERMITTED BY APPLICABLE LAW, ANY AND ALL RIGHT TO TRIAL BY JURY IN ANY LEGAL PROCEEDING ARISING OUT OF OR RELATING TO THIS AGREEMENT OR THE TRANSACTIONS CONTEMPLATED HEREBY.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transmission or email of a .pdf attachment.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Schedule and Exhibit headings herein are for convenience only and shall not affect the construction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 xml:space="preserve">. The Company represents, warrants and agrees that, unless it obtains the prior consent of the Agent, and the Agent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Times;Serif" w:hAnsi="Times New Roman;Times;Serif"/>
          <w:b w:val="false"/>
          <w:i w:val="false"/>
          <w:caps w:val="false"/>
          <w:smallCaps w:val="false"/>
          <w:sz w:val="20"/>
          <w:u w:val="single"/>
        </w:rPr>
        <w:t>Exhibit 23</w:t>
      </w:r>
      <w:r>
        <w:rPr>
          <w:rFonts w:ascii="Times New Roman;Times;Serif" w:hAnsi="Times New Roman;Times;Serif"/>
          <w:b w:val="false"/>
          <w:i w:val="false"/>
          <w:caps w:val="false"/>
          <w:smallCaps w:val="false"/>
          <w:sz w:val="20"/>
        </w:rPr>
        <w:t xml:space="preserve"> hereto are Permitted Free Writing Prospectuses.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Agent’s Role;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shareholders (or other equity holders), creditors or employees or any other party, on the one hand, and the Agent, on the other hand, has been or will be created in respect of any of the transactions contemplated by this Agreement, irrespective of whether or not any Agent has advised or is advising the Company on other matters, and the Agent has no obligation to the Company with respect to the transactions contemplated by this Agreement except the obligations expressly set forth in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capable of evaluating and understanding, and understands and accepts, the terms, risks and conditions of the transactions contemplated by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has not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is aware that the Agent and its affiliates are engaged in a broad range of transactions which may involve interests that differ from those of the Company and such Agent has no obligation to disclose such interests and transactions to the Company by virtue of any fiduciary, advisory or agency relationship or otherwise;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waives, to the fullest extent permitted by law, any claims it may have against the Agent for breach of fiduciary duty or alleged breach of fiduciary duty in connection with the sale of Placement Shares under this Agreement and agrees that the Agent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its counsel confidential to the extent not otherwise publicly-available; and</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Agent is not responsible for market behavior, investor activity, issuer disclosure, Company investor relations activity, third-party promotions, public float calculations, Form F-3 capacity, PRC or CSRC compliance, Nasdaq compliance, or any Company or transfer-agent failure to deliver Placement Shares. The Agent may monitor trading conditions, news, public filings, social media, regulatory developments, settlement status and other risk indicators, and may adjust execution accordingly. The Agent is acting solely as an execution agent, not a market participant or stabilizing entity.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Good Faith</w:t>
      </w:r>
      <w:r>
        <w:rPr>
          <w:rFonts w:ascii="Times New Roman;Times;Serif" w:hAnsi="Times New Roman;Times;Serif"/>
          <w:b w:val="false"/>
          <w:i w:val="false"/>
          <w:caps w:val="false"/>
          <w:smallCaps w:val="false"/>
          <w:sz w:val="20"/>
        </w:rPr>
        <w:t>. Each party hereto agrees to act in good faith in the performance of its obligations and the exercise of its rights under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(i) each Representation Date and (ii) the time of each sale of any Placement Shares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the page intentionally left blank]</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jc w:val="both"/>
        <w:rPr>
          <w:caps w:val="false"/>
          <w:smallCaps w:val="false"/>
        </w:rPr>
      </w:pPr>
      <w:r>
        <w:rPr>
          <w:caps w:val="false"/>
          <w:smallCaps w:val="false"/>
        </w:rPr>
        <w:t> </w:t>
      </w:r>
    </w:p>
    <w:tbl>
      <w:tblPr>
        <w:tblW w:w="4879" w:type="dxa"/>
        <w:jc w:val="left"/>
        <w:tblInd w:w="0" w:type="dxa"/>
        <w:tblLayout w:type="fixed"/>
        <w:tblCellMar>
          <w:top w:w="0" w:type="dxa"/>
          <w:left w:w="0" w:type="dxa"/>
          <w:bottom w:w="0" w:type="dxa"/>
          <w:right w:w="0" w:type="dxa"/>
        </w:tblCellMar>
      </w:tblPr>
      <w:tblGrid>
        <w:gridCol w:w="75"/>
        <w:gridCol w:w="86"/>
        <w:gridCol w:w="723"/>
        <w:gridCol w:w="3995"/>
      </w:tblGrid>
      <w:tr>
        <w:trPr/>
        <w:tc>
          <w:tcPr>
            <w:tcW w:w="75" w:type="dxa"/>
            <w:tcBorders/>
            <w:vAlign w:val="center"/>
          </w:tcPr>
          <w:p>
            <w:pPr>
              <w:pStyle w:val="TableContents"/>
              <w:bidi w:val="0"/>
              <w:spacing w:before="0" w:after="283"/>
              <w:jc w:val="left"/>
              <w:rPr/>
            </w:pPr>
            <w:r>
              <w:rPr/>
              <w:t> </w:t>
            </w:r>
          </w:p>
        </w:tc>
        <w:tc>
          <w:tcPr>
            <w:tcW w:w="4804"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471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4718" w:type="dxa"/>
            <w:gridSpan w:val="2"/>
            <w:tcBorders/>
            <w:vAlign w:val="center"/>
          </w:tcPr>
          <w:p>
            <w:pPr>
              <w:pStyle w:val="TableContents"/>
              <w:bidi w:val="0"/>
              <w:spacing w:before="0" w:after="283"/>
              <w:jc w:val="left"/>
              <w:rPr>
                <w:b/>
              </w:rPr>
            </w:pPr>
            <w:r>
              <w:rPr>
                <w:b/>
              </w:rPr>
              <w:t>ZJK INDUSTRIAL CO., LTD.</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471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By:</w:t>
            </w:r>
          </w:p>
        </w:tc>
        <w:tc>
          <w:tcPr>
            <w:tcW w:w="3995" w:type="dxa"/>
            <w:tcBorders>
              <w:bottom w:val="single" w:sz="8" w:space="0" w:color="000000"/>
            </w:tcBorders>
            <w:tcMar>
              <w:bottom w:w="28" w:type="dxa"/>
            </w:tcMar>
            <w:vAlign w:val="center"/>
          </w:tcPr>
          <w:p>
            <w:pPr>
              <w:pStyle w:val="TableContents"/>
              <w:bidi w:val="0"/>
              <w:spacing w:before="0" w:after="283"/>
              <w:jc w:val="left"/>
              <w:rPr/>
            </w:pPr>
            <w:r>
              <w:rPr/>
              <w:t>/s/ Ning Ding</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Name: Ning Ding</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Title: CEO</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4" w:type="dxa"/>
            <w:gridSpan w:val="3"/>
            <w:tcBorders/>
            <w:vAlign w:val="center"/>
          </w:tcPr>
          <w:p>
            <w:pPr>
              <w:pStyle w:val="TableContents"/>
              <w:bidi w:val="0"/>
              <w:spacing w:before="0" w:after="283"/>
              <w:jc w:val="left"/>
              <w:rPr>
                <w:b/>
              </w:rPr>
            </w:pPr>
            <w:r>
              <w:rPr>
                <w:b/>
              </w:rPr>
              <w:t>ACCEPTED as of the date first-above written:</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4718" w:type="dxa"/>
            <w:gridSpan w:val="2"/>
            <w:tcBorders/>
            <w:vAlign w:val="center"/>
          </w:tcPr>
          <w:p>
            <w:pPr>
              <w:pStyle w:val="TableContents"/>
              <w:bidi w:val="0"/>
              <w:spacing w:before="0" w:after="283"/>
              <w:jc w:val="left"/>
              <w:rPr>
                <w:b/>
              </w:rPr>
            </w:pPr>
            <w:r>
              <w:rPr>
                <w:b/>
              </w:rPr>
              <w:t>CHAINCE SECURITIES, LLC</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By:</w:t>
            </w:r>
          </w:p>
        </w:tc>
        <w:tc>
          <w:tcPr>
            <w:tcW w:w="3995" w:type="dxa"/>
            <w:tcBorders>
              <w:bottom w:val="single" w:sz="8" w:space="0" w:color="000000"/>
            </w:tcBorders>
            <w:tcMar>
              <w:bottom w:w="28" w:type="dxa"/>
            </w:tcMar>
            <w:vAlign w:val="center"/>
          </w:tcPr>
          <w:p>
            <w:pPr>
              <w:pStyle w:val="TableContents"/>
              <w:bidi w:val="0"/>
              <w:spacing w:before="0" w:after="283"/>
              <w:jc w:val="left"/>
              <w:rPr/>
            </w:pPr>
            <w:r>
              <w:rPr/>
              <w:t>/s/ Wilfred Daye</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Name: Wilfred Daye</w:t>
            </w:r>
          </w:p>
        </w:tc>
      </w:tr>
      <w:tr>
        <w:trPr/>
        <w:tc>
          <w:tcPr>
            <w:tcW w:w="7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Title: CEO</w:t>
            </w:r>
          </w:p>
        </w:tc>
      </w:tr>
    </w:tbl>
    <w:p>
      <w:pPr>
        <w:pStyle w:val="TextBody"/>
        <w:bidi w:val="0"/>
        <w:ind w:left="432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432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PLACEMENT NOTICE</w:t>
      </w:r>
    </w:p>
    <w:p>
      <w:pPr>
        <w:pStyle w:val="TextBody"/>
        <w:bidi w:val="0"/>
        <w:ind w:left="72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05"/>
        <w:gridCol w:w="2315"/>
      </w:tblGrid>
      <w:tr>
        <w:trPr/>
        <w:tc>
          <w:tcPr>
            <w:tcW w:w="605" w:type="dxa"/>
            <w:tcBorders/>
            <w:vAlign w:val="center"/>
          </w:tcPr>
          <w:p>
            <w:pPr>
              <w:pStyle w:val="TableContents"/>
              <w:bidi w:val="0"/>
              <w:spacing w:before="0" w:after="283"/>
              <w:jc w:val="left"/>
              <w:rPr/>
            </w:pPr>
            <w:r>
              <w:rPr/>
              <w:t>From:</w:t>
            </w:r>
          </w:p>
        </w:tc>
        <w:tc>
          <w:tcPr>
            <w:tcW w:w="2315" w:type="dxa"/>
            <w:tcBorders/>
            <w:vAlign w:val="center"/>
          </w:tcPr>
          <w:p>
            <w:pPr>
              <w:pStyle w:val="TableContents"/>
              <w:bidi w:val="0"/>
              <w:spacing w:before="0" w:after="283"/>
              <w:jc w:val="left"/>
              <w:rPr/>
            </w:pPr>
            <w:r>
              <w:rPr/>
              <w:t>ZJK Industrial Co., Ltd.</w:t>
            </w:r>
          </w:p>
        </w:tc>
      </w:tr>
    </w:tbl>
    <w:p>
      <w:pPr>
        <w:pStyle w:val="TextBody"/>
        <w:bidi w:val="0"/>
        <w:ind w:left="72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365"/>
        <w:gridCol w:w="2375"/>
      </w:tblGrid>
      <w:tr>
        <w:trPr/>
        <w:tc>
          <w:tcPr>
            <w:tcW w:w="365" w:type="dxa"/>
            <w:tcBorders/>
            <w:vAlign w:val="center"/>
          </w:tcPr>
          <w:p>
            <w:pPr>
              <w:pStyle w:val="TableContents"/>
              <w:bidi w:val="0"/>
              <w:spacing w:before="0" w:after="283"/>
              <w:jc w:val="left"/>
              <w:rPr/>
            </w:pPr>
            <w:r>
              <w:rPr/>
              <w:t>To:</w:t>
            </w:r>
          </w:p>
        </w:tc>
        <w:tc>
          <w:tcPr>
            <w:tcW w:w="2375" w:type="dxa"/>
            <w:tcBorders/>
            <w:vAlign w:val="center"/>
          </w:tcPr>
          <w:p>
            <w:pPr>
              <w:pStyle w:val="TableContents"/>
              <w:bidi w:val="0"/>
              <w:spacing w:before="0" w:after="283"/>
              <w:jc w:val="left"/>
              <w:rPr/>
            </w:pPr>
            <w:r>
              <w:rPr/>
              <w:t>Chaince Securities, LLC</w:t>
            </w:r>
          </w:p>
        </w:tc>
      </w:tr>
    </w:tbl>
    <w:p>
      <w:pPr>
        <w:pStyle w:val="TextBody"/>
        <w:bidi w:val="0"/>
        <w:ind w:left="72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1040"/>
        <w:gridCol w:w="275"/>
      </w:tblGrid>
      <w:tr>
        <w:trPr/>
        <w:tc>
          <w:tcPr>
            <w:tcW w:w="1040" w:type="dxa"/>
            <w:tcBorders/>
            <w:vAlign w:val="center"/>
          </w:tcPr>
          <w:p>
            <w:pPr>
              <w:pStyle w:val="TableContents"/>
              <w:bidi w:val="0"/>
              <w:spacing w:before="0" w:after="283"/>
              <w:jc w:val="left"/>
              <w:rPr/>
            </w:pPr>
            <w:r>
              <w:rPr/>
              <w:t xml:space="preserve">Attention: </w:t>
            </w:r>
          </w:p>
        </w:tc>
        <w:tc>
          <w:tcPr>
            <w:tcW w:w="275" w:type="dxa"/>
            <w:tcBorders/>
            <w:vAlign w:val="center"/>
          </w:tcPr>
          <w:p>
            <w:pPr>
              <w:pStyle w:val="TableContents"/>
              <w:bidi w:val="0"/>
              <w:spacing w:before="0" w:after="283"/>
              <w:jc w:val="left"/>
              <w:rPr/>
            </w:pPr>
            <w:r>
              <w:rPr/>
              <w:t>[•]</w:t>
            </w:r>
          </w:p>
        </w:tc>
      </w:tr>
    </w:tbl>
    <w:p>
      <w:pPr>
        <w:pStyle w:val="TextBody"/>
        <w:bidi w:val="0"/>
        <w:ind w:left="72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800"/>
        <w:gridCol w:w="3695"/>
      </w:tblGrid>
      <w:tr>
        <w:trPr/>
        <w:tc>
          <w:tcPr>
            <w:tcW w:w="800" w:type="dxa"/>
            <w:tcBorders/>
            <w:vAlign w:val="center"/>
          </w:tcPr>
          <w:p>
            <w:pPr>
              <w:pStyle w:val="TableContents"/>
              <w:bidi w:val="0"/>
              <w:spacing w:before="0" w:after="283"/>
              <w:jc w:val="left"/>
              <w:rPr/>
            </w:pPr>
            <w:r>
              <w:rPr/>
              <w:t>Subject:</w:t>
            </w:r>
          </w:p>
        </w:tc>
        <w:tc>
          <w:tcPr>
            <w:tcW w:w="3695" w:type="dxa"/>
            <w:tcBorders/>
            <w:vAlign w:val="center"/>
          </w:tcPr>
          <w:p>
            <w:pPr>
              <w:pStyle w:val="TableContents"/>
              <w:bidi w:val="0"/>
              <w:spacing w:before="0" w:after="283"/>
              <w:jc w:val="left"/>
              <w:rPr/>
            </w:pPr>
            <w:r>
              <w:rPr/>
              <w:t>At Market Issuance--Placement Notice</w:t>
            </w:r>
          </w:p>
        </w:tc>
      </w:tr>
    </w:tbl>
    <w:p>
      <w:pPr>
        <w:pStyle w:val="TextBody"/>
        <w:bidi w:val="0"/>
        <w:ind w:left="72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At Market Sales Agreement between ZJK Industrial Co., Ltd., an exempted company incorporated in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Chaince Securities, LLC, dated August 3, 2026, the Company hereby requests that the Agent sell up to [____] of the Company’s Ordinary Shares, par value US$0.000016666667 per share, at a minimum market price of $[ ] per share, during the time period beginning [month, day, time] and ending [month, day, time] [and with no more than [●] Placement Shares sold in any one Trading 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include such other sale parameters as it deems appropriate.]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and not defined herein shall have the respective meanings assigned to them in the Agreement.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Agent in cash, upon each sale of Placement Shares pursuant to this Agreement, an amount equal to 3.0% of the gross proceeds from each sale of Placement Shares, which fee will be reflected on the applicable settlement statement.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Ning Ding</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neal@zjk-industrial.com</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Chaince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Wilfred Daye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wilfred.daye@chaincesecurities.com</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7(l)</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of Representation Date Certificate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 20___</w:t>
      </w:r>
    </w:p>
    <w:p>
      <w:pPr>
        <w:pStyle w:val="TextBody"/>
        <w:bidi w:val="0"/>
        <w:jc w:val="center"/>
        <w:rPr>
          <w:caps w:val="false"/>
          <w:smallCaps w:val="false"/>
        </w:rPr>
      </w:pPr>
      <w:r>
        <w:rPr>
          <w:caps w:val="false"/>
          <w:smallCaps w:val="false"/>
        </w:rPr>
        <w:t> </w:t>
      </w:r>
    </w:p>
    <w:p>
      <w:pPr>
        <w:pStyle w:val="TextBody"/>
        <w:bidi w:val="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Representation Date Certificate (this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is executed and delivered in connection with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of the At Market Sales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August 3, 2026, and entered into between ZJK Industrial Co.,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Chaince Securities, LLC. All capitalized terms used but not defined herein shall have the meanings given to such terms in the Agreement.</w:t>
      </w:r>
    </w:p>
    <w:p>
      <w:pPr>
        <w:pStyle w:val="TextBody"/>
        <w:bidi w:val="0"/>
        <w:ind w:left="0" w:right="0" w:firstLine="648"/>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certifies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this paragraph 1 to be true.</w:t>
      </w:r>
    </w:p>
    <w:p>
      <w:pPr>
        <w:pStyle w:val="TextBody"/>
        <w:bidi w:val="0"/>
        <w:ind w:left="0" w:right="0" w:firstLine="792"/>
        <w:jc w:val="both"/>
        <w:rPr>
          <w:caps w:val="false"/>
          <w:smallCaps w:val="false"/>
        </w:rPr>
      </w:pPr>
      <w:r>
        <w:rPr>
          <w:caps w:val="false"/>
          <w:smallCaps w:val="false"/>
        </w:rPr>
        <w:t> </w:t>
      </w:r>
    </w:p>
    <w:p>
      <w:pPr>
        <w:pStyle w:val="TextBody"/>
        <w:bidi w:val="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of the representations and warranties of the Company contained in the Agreement were, when originally made, and are, as of the date of this Certificate, true and correct in all material respects.</w:t>
      </w:r>
    </w:p>
    <w:p>
      <w:pPr>
        <w:pStyle w:val="TextBody"/>
        <w:bidi w:val="0"/>
        <w:ind w:left="0" w:right="0" w:firstLine="792"/>
        <w:jc w:val="both"/>
        <w:rPr>
          <w:caps w:val="false"/>
          <w:smallCaps w:val="false"/>
        </w:rPr>
      </w:pPr>
      <w:r>
        <w:rPr>
          <w:caps w:val="false"/>
          <w:smallCaps w:val="false"/>
        </w:rPr>
        <w:t> </w:t>
      </w:r>
    </w:p>
    <w:p>
      <w:pPr>
        <w:pStyle w:val="TextBody"/>
        <w:bidi w:val="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Except as waived by the Agent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pStyle w:val="TextBody"/>
        <w:bidi w:val="0"/>
        <w:ind w:left="0" w:right="0" w:firstLine="792"/>
        <w:jc w:val="both"/>
        <w:rPr>
          <w:caps w:val="false"/>
          <w:smallCaps w:val="false"/>
        </w:rPr>
      </w:pPr>
      <w:r>
        <w:rPr>
          <w:caps w:val="false"/>
          <w:smallCaps w:val="false"/>
        </w:rPr>
        <w:t> </w:t>
      </w:r>
    </w:p>
    <w:p>
      <w:pPr>
        <w:pStyle w:val="TextBody"/>
        <w:bidi w:val="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Subsequent to the date of the most recent financial statements in the Prospectus, and except as described in the Prospectus, including Incorporated Documents, there has been no Material Adverse Effect.</w:t>
      </w:r>
    </w:p>
    <w:p>
      <w:pPr>
        <w:pStyle w:val="TextBody"/>
        <w:bidi w:val="0"/>
        <w:ind w:left="0" w:right="0" w:firstLine="792"/>
        <w:jc w:val="both"/>
        <w:rPr>
          <w:caps w:val="false"/>
          <w:smallCaps w:val="false"/>
        </w:rPr>
      </w:pPr>
      <w:r>
        <w:rPr>
          <w:caps w:val="false"/>
          <w:smallCaps w:val="false"/>
        </w:rPr>
        <w:t> </w:t>
      </w:r>
    </w:p>
    <w:p>
      <w:pPr>
        <w:pStyle w:val="TextBody"/>
        <w:bidi w:val="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Commission).</w:t>
      </w:r>
    </w:p>
    <w:p>
      <w:pPr>
        <w:pStyle w:val="TextBody"/>
        <w:bidi w:val="0"/>
        <w:ind w:left="0" w:right="0" w:firstLine="792"/>
        <w:jc w:val="both"/>
        <w:rPr>
          <w:caps w:val="false"/>
          <w:smallCaps w:val="false"/>
        </w:rPr>
      </w:pPr>
      <w:r>
        <w:rPr>
          <w:caps w:val="false"/>
          <w:smallCaps w:val="false"/>
        </w:rPr>
        <w:t> </w:t>
      </w:r>
    </w:p>
    <w:p>
      <w:pPr>
        <w:pStyle w:val="TextBody"/>
        <w:bidi w:val="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No order suspending the effectiveness of the Registration Statement or the qualification or registration of the Placement Shares under the securities or Blue Sky laws of any jurisdiction are in effect and no proceeding for such purpose is pending before, or threatened, to the Company’s knowledge or in writing by, any securities or other governmental authority (including, without limitation, the Commission).</w:t>
      </w:r>
    </w:p>
    <w:p>
      <w:pPr>
        <w:pStyle w:val="TextBody"/>
        <w:bidi w:val="0"/>
        <w:ind w:left="0" w:right="0" w:firstLine="792"/>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Representation Date Certificate as of the date first written above.</w:t>
      </w:r>
    </w:p>
    <w:p>
      <w:pPr>
        <w:pStyle w:val="TextBody"/>
        <w:bidi w:val="0"/>
        <w:ind w:left="0" w:right="0" w:firstLine="720"/>
        <w:jc w:val="both"/>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2903"/>
        <w:gridCol w:w="371"/>
      </w:tblGrid>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b/>
              </w:rPr>
            </w:pPr>
            <w:r>
              <w:rPr>
                <w:b/>
              </w:rPr>
              <w:t>ZJK INDUSTRIAL CO., LTD.</w:t>
            </w:r>
          </w:p>
        </w:tc>
      </w:tr>
      <w:tr>
        <w:trPr/>
        <w:tc>
          <w:tcPr>
            <w:tcW w:w="75" w:type="dxa"/>
            <w:tcBorders/>
            <w:vAlign w:val="center"/>
          </w:tcPr>
          <w:p>
            <w:pPr>
              <w:pStyle w:val="TableContents"/>
              <w:bidi w:val="0"/>
              <w:spacing w:before="0" w:after="283"/>
              <w:jc w:val="left"/>
              <w:rPr/>
            </w:pPr>
            <w:r>
              <w:rPr/>
              <w:t> </w:t>
            </w:r>
          </w:p>
        </w:tc>
        <w:tc>
          <w:tcPr>
            <w:tcW w:w="2903"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3" w:type="dxa"/>
            <w:tcBorders/>
            <w:vAlign w:val="center"/>
          </w:tcPr>
          <w:p>
            <w:pPr>
              <w:pStyle w:val="TableContents"/>
              <w:bidi w:val="0"/>
              <w:spacing w:before="0" w:after="283"/>
              <w:jc w:val="left"/>
              <w:rPr/>
            </w:pPr>
            <w:r>
              <w:rPr/>
              <w:t>By:</w:t>
            </w:r>
          </w:p>
        </w:tc>
        <w:tc>
          <w:tcPr>
            <w:tcW w:w="37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3"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3" w:type="dxa"/>
            <w:tcBorders/>
            <w:vAlign w:val="center"/>
          </w:tcPr>
          <w:p>
            <w:pPr>
              <w:pStyle w:val="TableContents"/>
              <w:bidi w:val="0"/>
              <w:spacing w:before="0" w:after="283"/>
              <w:jc w:val="left"/>
              <w:rPr/>
            </w:pPr>
            <w:r>
              <w:rPr/>
              <w:t>Name:</w:t>
            </w:r>
          </w:p>
        </w:tc>
        <w:tc>
          <w:tcPr>
            <w:tcW w:w="37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3"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3" w:type="dxa"/>
            <w:tcBorders/>
            <w:vAlign w:val="center"/>
          </w:tcPr>
          <w:p>
            <w:pPr>
              <w:pStyle w:val="TableContents"/>
              <w:bidi w:val="0"/>
              <w:spacing w:before="0" w:after="283"/>
              <w:jc w:val="left"/>
              <w:rPr/>
            </w:pPr>
            <w:r>
              <w:rPr/>
              <w:t>Title:</w:t>
            </w:r>
          </w:p>
        </w:tc>
        <w:tc>
          <w:tcPr>
            <w:tcW w:w="371"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ind w:left="4464"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4464"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Issuer Free Writing Prospectuses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200" w:after="60"/>
        <w:jc w:val="left"/>
        <w:rPr>
          <w:bdr w:val="single" w:sz="16" w:space="1" w:color="000000"/>
        </w:rPr>
      </w:pPr>
      <w:bookmarkStart w:id="6" w:name="e7804_ex23-1.htm"/>
      <w:bookmarkStart w:id="7" w:name="kse7804_ex231"/>
      <w:bookmarkEnd w:id="6"/>
      <w:bookmarkEnd w:id="7"/>
      <w:r>
        <w:rPr>
          <w:bdr w:val="single" w:sz="16" w:space="1" w:color="000000"/>
        </w:rPr>
        <w:t> </w:t>
      </w:r>
      <w:r>
        <w:br w:type="page"/>
      </w:r>
    </w:p>
    <w:p>
      <w:pPr>
        <w:pStyle w:val="TextBody"/>
        <w:bidi w:val="0"/>
        <w:spacing w:before="0" w:after="283"/>
        <w:jc w:val="left"/>
        <w:rPr/>
      </w:pPr>
      <w:r>
        <w:rPr/>
        <w:t> </w:t>
      </w:r>
    </w:p>
    <w:p>
      <w:pPr>
        <w:pStyle w:val="TextBody"/>
        <w:bidi w:val="0"/>
        <w:jc w:val="center"/>
        <w:rPr>
          <w:caps w:val="false"/>
          <w:smallCaps w:val="false"/>
        </w:rPr>
      </w:pPr>
      <w:r>
        <w:rPr>
          <w:caps w:val="false"/>
          <w:smallCaps w:val="false"/>
        </w:rPr>
        <w:drawing>
          <wp:inline distT="0" distB="0" distL="0" distR="0">
            <wp:extent cx="112395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23950" cy="457200"/>
                    </a:xfrm>
                    <a:prstGeom prst="rect">
                      <a:avLst/>
                    </a:prstGeom>
                  </pic:spPr>
                </pic:pic>
              </a:graphicData>
            </a:graphic>
          </wp:inline>
        </w:drawing>
      </w: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23.1</w:t>
      </w:r>
    </w:p>
    <w:p>
      <w:pPr>
        <w:pStyle w:val="TextBody"/>
        <w:bidi w:val="0"/>
        <w:jc w:val="righ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380"/>
        <w:gridCol w:w="60"/>
        <w:gridCol w:w="2540"/>
      </w:tblGrid>
      <w:tr>
        <w:trPr/>
        <w:tc>
          <w:tcPr>
            <w:tcW w:w="3380" w:type="dxa"/>
            <w:vMerge w:val="restart"/>
            <w:tcBorders/>
            <w:vAlign w:val="center"/>
          </w:tcPr>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 ICS Corporate Services (Cayman) </w:t>
              <w:br/>
              <w:t xml:space="preserve">Limited, 3-212 Governors Square, 23 </w:t>
              <w:br/>
              <w:t xml:space="preserve">Lime Tree Bay Avenue, P.O. Box 30746, </w:t>
              <w:br/>
              <w:t>Seven Mile Beach, Grand Cayman KY1-</w:t>
              <w:br/>
              <w:t>1203, Cayman Islands</w:t>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D +1 345 949 9876</w:t>
            </w:r>
          </w:p>
        </w:tc>
      </w:tr>
      <w:tr>
        <w:trPr/>
        <w:tc>
          <w:tcPr>
            <w:tcW w:w="33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E bradley.kruger@ogier.com</w:t>
            </w:r>
          </w:p>
        </w:tc>
      </w:tr>
      <w:tr>
        <w:trPr/>
        <w:tc>
          <w:tcPr>
            <w:tcW w:w="33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pPr>
            <w:r>
              <w:rPr/>
              <w:t> </w:t>
            </w:r>
          </w:p>
        </w:tc>
      </w:tr>
      <w:tr>
        <w:trPr/>
        <w:tc>
          <w:tcPr>
            <w:tcW w:w="33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Reference: 504081.00001</w:t>
            </w:r>
          </w:p>
        </w:tc>
      </w:tr>
      <w:tr>
        <w:trPr/>
        <w:tc>
          <w:tcPr>
            <w:tcW w:w="33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pPr>
            <w:r>
              <w:rPr/>
              <w:t> </w:t>
            </w:r>
          </w:p>
        </w:tc>
      </w:tr>
      <w:tr>
        <w:trPr/>
        <w:tc>
          <w:tcPr>
            <w:tcW w:w="338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ind w:left="0" w:right="0" w:hanging="0"/>
              <w:jc w:val="left"/>
              <w:rPr/>
            </w:pPr>
            <w:r>
              <w:rPr/>
              <w:t> </w:t>
            </w:r>
          </w:p>
        </w:tc>
      </w:tr>
      <w:tr>
        <w:trPr/>
        <w:tc>
          <w:tcPr>
            <w:tcW w:w="338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August 2026</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Cayman Islands law in connection with a supplement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xml:space="preserve">) to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filed in connection with the Company’s registration statement on Form F-3,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as amended, (including its exhibits, the Prospectus and the Prospectus Supplement,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The Prospectus Supplement relates to the offering and sale of up to US$9,800,000 worth of Class A ordinary shares of the Company with a par value of US$0.000016666667 each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in accordance with the terms of the Legal Matters section of the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Schedule 1. A reference to a Schedule is a reference to a schedule to this opinion and the headings herein are for convenience only and do not affect the construction of this opinion.</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630"/>
        <w:gridCol w:w="9405"/>
      </w:tblGrid>
      <w:tr>
        <w:trPr/>
        <w:tc>
          <w:tcPr>
            <w:tcW w:w="17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1</w:t>
            </w:r>
          </w:p>
        </w:tc>
        <w:tc>
          <w:tcPr>
            <w:tcW w:w="9405" w:type="dxa"/>
            <w:tcBorders/>
            <w:vAlign w:val="center"/>
          </w:tcPr>
          <w:p>
            <w:pPr>
              <w:pStyle w:val="TableContents"/>
              <w:bidi w:val="0"/>
              <w:spacing w:before="0" w:after="283"/>
              <w:jc w:val="both"/>
              <w:rPr/>
            </w:pPr>
            <w:r>
              <w:rPr/>
              <w:t>Documents examined</w:t>
            </w:r>
          </w:p>
        </w:tc>
      </w:tr>
    </w:tbl>
    <w:p>
      <w:pPr>
        <w:pStyle w:val="TextBody"/>
        <w:bidi w:val="0"/>
        <w:ind w:left="709"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copies of the documents listed in Part B of Schedule 1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In addition, we have examined the corporate and other documents and conducted the searches listed in Part A of Schedule 1.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ind w:left="709"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709" w:right="0" w:hanging="0"/>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990"/>
        <w:gridCol w:w="8947"/>
      </w:tblGrid>
      <w:tr>
        <w:trPr/>
        <w:tc>
          <w:tcPr>
            <w:tcW w:w="26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2</w:t>
            </w:r>
          </w:p>
        </w:tc>
        <w:tc>
          <w:tcPr>
            <w:tcW w:w="8947" w:type="dxa"/>
            <w:tcBorders/>
            <w:vAlign w:val="center"/>
          </w:tcPr>
          <w:p>
            <w:pPr>
              <w:pStyle w:val="TableContents"/>
              <w:bidi w:val="0"/>
              <w:spacing w:before="0" w:after="283"/>
              <w:jc w:val="both"/>
              <w:rPr/>
            </w:pPr>
            <w:r>
              <w:rPr/>
              <w:t>Assumptions</w:t>
            </w:r>
          </w:p>
        </w:tc>
      </w:tr>
    </w:tbl>
    <w:p>
      <w:pPr>
        <w:pStyle w:val="TextBody"/>
        <w:bidi w:val="0"/>
        <w:ind w:left="709"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2 without having carried out any independent investigation or verification in respect of those assumptions.</w:t>
      </w:r>
    </w:p>
    <w:p>
      <w:pPr>
        <w:pStyle w:val="TextBody"/>
        <w:bidi w:val="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319"/>
        <w:gridCol w:w="8528"/>
      </w:tblGrid>
      <w:tr>
        <w:trPr/>
        <w:tc>
          <w:tcPr>
            <w:tcW w:w="35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pPr>
            <w:r>
              <w:rPr/>
              <w:t>3</w:t>
            </w:r>
          </w:p>
        </w:tc>
        <w:tc>
          <w:tcPr>
            <w:tcW w:w="8528" w:type="dxa"/>
            <w:tcBorders/>
            <w:vAlign w:val="center"/>
          </w:tcPr>
          <w:p>
            <w:pPr>
              <w:pStyle w:val="TableContents"/>
              <w:bidi w:val="0"/>
              <w:spacing w:before="0" w:after="283"/>
              <w:jc w:val="both"/>
              <w:rPr/>
            </w:pPr>
            <w:r>
              <w:rPr/>
              <w:t>Opinions</w:t>
            </w:r>
          </w:p>
        </w:tc>
      </w:tr>
    </w:tbl>
    <w:p>
      <w:pPr>
        <w:pStyle w:val="TextBody"/>
        <w:bidi w:val="0"/>
        <w:ind w:left="709"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3 and the limitations set forth below, we are of the opinion that:</w:t>
      </w:r>
    </w:p>
    <w:p>
      <w:pPr>
        <w:pStyle w:val="TextBody"/>
        <w:bidi w:val="0"/>
        <w:ind w:left="709" w:right="0" w:hanging="0"/>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 xml:space="preserve">The Company has been duly incorporated as an exempted company with limited liability and is validly existing and in good standing with the Registrar of Companies of the Cayman Islands (the </w:t>
            </w:r>
            <w:r>
              <w:rPr>
                <w:b/>
              </w:rPr>
              <w:t>Registrar</w:t>
            </w:r>
            <w:r>
              <w:rPr/>
              <w:t>).</w:t>
            </w:r>
          </w:p>
        </w:tc>
      </w:tr>
    </w:tbl>
    <w:p>
      <w:pPr>
        <w:pStyle w:val="TextBody"/>
        <w:bidi w:val="0"/>
        <w:ind w:left="1418"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power</w:t>
      </w:r>
    </w:p>
    <w:p>
      <w:pPr>
        <w:pStyle w:val="TextBody"/>
        <w:bidi w:val="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The Company has all requisite power under its Memorandum and Articles of Association to issue the Shares, to execute and deliver the Documents and to perform its obligations, and exercise its rights, under such documents.</w:t>
            </w:r>
          </w:p>
        </w:tc>
      </w:tr>
    </w:tbl>
    <w:p>
      <w:pPr>
        <w:pStyle w:val="TextBody"/>
        <w:bidi w:val="0"/>
        <w:ind w:left="1418"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283"/>
              <w:jc w:val="both"/>
              <w:rPr/>
            </w:pPr>
            <w:r>
              <w:rPr/>
              <w:t>The Shares to be offered and issued by the Company as contemplated by the Prospectus Supplement, when issued by the Company:</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43"/>
        <w:gridCol w:w="9923"/>
      </w:tblGrid>
      <w:tr>
        <w:trPr/>
        <w:tc>
          <w:tcPr>
            <w:tcW w:w="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w:t>
            </w:r>
          </w:p>
        </w:tc>
        <w:tc>
          <w:tcPr>
            <w:tcW w:w="9923" w:type="dxa"/>
            <w:tcBorders/>
            <w:vAlign w:val="center"/>
          </w:tcPr>
          <w:p>
            <w:pPr>
              <w:pStyle w:val="TableContents"/>
              <w:bidi w:val="0"/>
              <w:spacing w:before="0" w:after="283"/>
              <w:jc w:val="both"/>
              <w:rPr/>
            </w:pPr>
            <w:r>
              <w:rPr/>
              <w:t>in accordance with the Documents, Resolutions and Memorandum and Articles of Association; and</w:t>
            </w:r>
          </w:p>
        </w:tc>
      </w:tr>
    </w:tbl>
    <w:p>
      <w:pPr>
        <w:pStyle w:val="TextBody"/>
        <w:bidi w:val="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upon payment in full of the consideration as set out in the Documents and the entry of those Shares as fully paid in the register of members of the Company,</w:t>
            </w:r>
          </w:p>
        </w:tc>
      </w:tr>
    </w:tbl>
    <w:p>
      <w:pPr>
        <w:pStyle w:val="TextBody"/>
        <w:bidi w:val="0"/>
        <w:ind w:left="2126" w:right="0" w:hanging="708"/>
        <w:jc w:val="both"/>
        <w:rPr>
          <w:caps w:val="false"/>
          <w:smallCaps w:val="false"/>
        </w:rPr>
      </w:pPr>
      <w:r>
        <w:rPr>
          <w:caps w:val="false"/>
          <w:smallCaps w:val="false"/>
        </w:rPr>
        <w:t> </w:t>
      </w:r>
    </w:p>
    <w:p>
      <w:pPr>
        <w:pStyle w:val="TextBody"/>
        <w:bidi w:val="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w:t>
      </w:r>
    </w:p>
    <w:p>
      <w:pPr>
        <w:pStyle w:val="TextBody"/>
        <w:bidi w:val="0"/>
        <w:ind w:left="1418" w:right="0" w:hanging="0"/>
        <w:jc w:val="both"/>
        <w:rPr>
          <w:caps w:val="false"/>
          <w:smallCaps w:val="false"/>
        </w:rPr>
      </w:pPr>
      <w:r>
        <w:rPr>
          <w:caps w:val="false"/>
          <w:smallCaps w:val="false"/>
        </w:rPr>
        <w:t> </w:t>
      </w:r>
    </w:p>
    <w:p>
      <w:pPr>
        <w:pStyle w:val="TextBody"/>
        <w:bidi w:val="0"/>
        <w:spacing w:before="0" w:after="0"/>
        <w:ind w:left="1418" w:right="0" w:hanging="0"/>
        <w:jc w:val="center"/>
        <w:rPr>
          <w:bdr w:val="single" w:sz="16" w:space="1" w:color="000000"/>
        </w:rPr>
      </w:pPr>
      <w:r>
        <w:rPr>
          <w:bdr w:val="single" w:sz="16" w:space="1" w:color="000000"/>
        </w:rPr>
        <w:t>2</w:t>
      </w:r>
    </w:p>
    <w:p>
      <w:pPr>
        <w:pStyle w:val="TextBody"/>
        <w:bidi w:val="0"/>
        <w:spacing w:before="0" w:after="0"/>
        <w:ind w:left="0" w:right="0" w:hanging="0"/>
        <w:jc w:val="left"/>
        <w:rPr/>
      </w:pPr>
      <w:r>
        <w:rPr/>
        <w:t> </w:t>
      </w:r>
    </w:p>
    <w:p>
      <w:pPr>
        <w:pStyle w:val="TextBody"/>
        <w:bidi w:val="0"/>
        <w:ind w:left="1418" w:right="0" w:hanging="0"/>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684"/>
        <w:gridCol w:w="9336"/>
      </w:tblGrid>
      <w:tr>
        <w:trPr/>
        <w:tc>
          <w:tcPr>
            <w:tcW w:w="18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4</w:t>
            </w:r>
          </w:p>
        </w:tc>
        <w:tc>
          <w:tcPr>
            <w:tcW w:w="9336" w:type="dxa"/>
            <w:tcBorders/>
            <w:vAlign w:val="center"/>
          </w:tcPr>
          <w:p>
            <w:pPr>
              <w:pStyle w:val="TableContents"/>
              <w:bidi w:val="0"/>
              <w:spacing w:before="0" w:after="283"/>
              <w:jc w:val="both"/>
              <w:rPr/>
            </w:pPr>
            <w:r>
              <w:rPr/>
              <w:t>Matters not covered</w:t>
            </w:r>
          </w:p>
        </w:tc>
      </w:tr>
    </w:tbl>
    <w:p>
      <w:pPr>
        <w:pStyle w:val="TextBody"/>
        <w:bidi w:val="0"/>
        <w:ind w:left="709" w:right="0" w:hanging="709"/>
        <w:jc w:val="both"/>
        <w:rPr>
          <w:caps w:val="false"/>
          <w:smallCaps w:val="false"/>
        </w:rPr>
      </w:pPr>
      <w:r>
        <w:rPr>
          <w:caps w:val="false"/>
          <w:smallCaps w:val="false"/>
        </w:rPr>
        <w:t> </w:t>
      </w:r>
    </w:p>
    <w:p>
      <w:pPr>
        <w:pStyle w:val="TextBody"/>
        <w:bidi w:val="0"/>
        <w:ind w:left="1418" w:right="0" w:hanging="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as to whether the acceptance, execution or performance of the Company’s obligations under the documents reviewed by us will result in the breach of or infringe any other agreement, deed or document (other than, to the extent expressly provided herein, the Memorandum and Articles of Association) entered into by or binding on the Company.</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466"/>
        <w:gridCol w:w="9613"/>
      </w:tblGrid>
      <w:tr>
        <w:trPr/>
        <w:tc>
          <w:tcPr>
            <w:tcW w:w="1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5</w:t>
            </w:r>
          </w:p>
        </w:tc>
        <w:tc>
          <w:tcPr>
            <w:tcW w:w="9613" w:type="dxa"/>
            <w:tcBorders/>
            <w:vAlign w:val="center"/>
          </w:tcPr>
          <w:p>
            <w:pPr>
              <w:pStyle w:val="TableContents"/>
              <w:bidi w:val="0"/>
              <w:spacing w:before="0" w:after="283"/>
              <w:jc w:val="both"/>
              <w:rPr/>
            </w:pPr>
            <w:r>
              <w:rPr/>
              <w:t>Governing law of this opinion</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752"/>
        <w:gridCol w:w="8245"/>
      </w:tblGrid>
      <w:tr>
        <w:trPr/>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pPr>
            <w:r>
              <w:rPr/>
              <w:t>5.1</w:t>
            </w:r>
          </w:p>
        </w:tc>
        <w:tc>
          <w:tcPr>
            <w:tcW w:w="8245" w:type="dxa"/>
            <w:tcBorders/>
            <w:vAlign w:val="center"/>
          </w:tcPr>
          <w:p>
            <w:pPr>
              <w:pStyle w:val="TableContents"/>
              <w:bidi w:val="0"/>
              <w:spacing w:before="0" w:after="283"/>
              <w:jc w:val="both"/>
              <w:rPr/>
            </w:pPr>
            <w:r>
              <w:rPr/>
              <w:t>This opinion is: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1"/>
        <w:gridCol w:w="9840"/>
      </w:tblGrid>
      <w:tr>
        <w:trPr/>
        <w:tc>
          <w:tcPr>
            <w:tcW w:w="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(a)</w:t>
            </w:r>
          </w:p>
        </w:tc>
        <w:tc>
          <w:tcPr>
            <w:tcW w:w="984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22"/>
        <w:gridCol w:w="9502"/>
      </w:tblGrid>
      <w:tr>
        <w:trPr/>
        <w:tc>
          <w:tcPr>
            <w:tcW w:w="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pPr>
            <w:r>
              <w:rPr/>
              <w:t>(b)</w:t>
            </w:r>
          </w:p>
        </w:tc>
        <w:tc>
          <w:tcPr>
            <w:tcW w:w="9502" w:type="dxa"/>
            <w:tcBorders/>
            <w:vAlign w:val="center"/>
          </w:tcPr>
          <w:p>
            <w:pPr>
              <w:pStyle w:val="TableContents"/>
              <w:bidi w:val="0"/>
              <w:spacing w:before="0" w:after="283"/>
              <w:jc w:val="both"/>
              <w:rPr/>
            </w:pPr>
            <w:r>
              <w:rPr/>
              <w:t>limited to the matters expressly stated in it; and</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0"/>
        <w:gridCol w:w="1439"/>
        <w:gridCol w:w="8376"/>
      </w:tblGrid>
      <w:tr>
        <w:trPr/>
        <w:tc>
          <w:tcPr>
            <w:tcW w:w="39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pPr>
            <w:r>
              <w:rPr/>
              <w:t>6</w:t>
            </w:r>
          </w:p>
        </w:tc>
        <w:tc>
          <w:tcPr>
            <w:tcW w:w="8376" w:type="dxa"/>
            <w:tcBorders/>
            <w:vAlign w:val="center"/>
          </w:tcPr>
          <w:p>
            <w:pPr>
              <w:pStyle w:val="TableContents"/>
              <w:bidi w:val="0"/>
              <w:spacing w:before="0" w:after="283"/>
              <w:jc w:val="both"/>
              <w:rPr/>
            </w:pPr>
            <w:r>
              <w:rPr/>
              <w:t>Consent</w:t>
            </w:r>
          </w:p>
        </w:tc>
      </w:tr>
    </w:tbl>
    <w:p>
      <w:pPr>
        <w:pStyle w:val="TextBody"/>
        <w:bidi w:val="0"/>
        <w:ind w:left="709"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to you for submission to the Commission as an exhibit to the Company’s Report of Foreign Private Issuer on Form 6-K relating to the Shares (the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which is incorporated by reference in the Registration Statement. We hereby consent to the filing of this opinion as an exhibit to the Form 6-K and its incorporation by reference and the reference to this firm in the Registration Statement under the heading “Legal Matters”. In the giving of our consent, we do not thereby admit that we are in the category of persons whose consent is required under Section 7 of the Act or the Rules and Regulations of the Commission thereunder.</w:t>
      </w:r>
    </w:p>
    <w:p>
      <w:pPr>
        <w:pStyle w:val="TextBody"/>
        <w:bidi w:val="0"/>
        <w:ind w:left="709"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Ogier (Cayman) LLP</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 (Cayman) LLP</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ind w:left="0" w:right="0" w:hanging="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 - Corporate and other documents</w:t>
      </w:r>
    </w:p>
    <w:p>
      <w:pPr>
        <w:pStyle w:val="TextBody"/>
        <w:bidi w:val="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 xml:space="preserve">The Certificate of Incorporation of the Company dated 11 May 2022 issued by the Registrar (the </w:t>
            </w:r>
            <w:r>
              <w:rPr>
                <w:b/>
              </w:rPr>
              <w:t>Certificate of Incorporation</w:t>
            </w:r>
            <w:r>
              <w:rPr/>
              <w:t>).</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 xml:space="preserve">The amended and restated memorandum of association of the Company adopted by special resolution passed on 6 March 2026 (the </w:t>
            </w:r>
            <w:r>
              <w:rPr>
                <w:b/>
              </w:rPr>
              <w:t>Memorandum</w:t>
            </w:r>
            <w:r>
              <w:rPr/>
              <w:t>).</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 xml:space="preserve">The amended and restated articles of association of the Company adopted by special resolution passed on 6 March 2026 (the </w:t>
            </w:r>
            <w:r>
              <w:rPr>
                <w:b/>
              </w:rPr>
              <w:t>Articles of Association</w:t>
            </w:r>
            <w:r>
              <w:rPr/>
              <w:t>).</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 xml:space="preserve">A Certificate of Good Standing dated 14 July 2026 (the </w:t>
            </w:r>
            <w:r>
              <w:rPr>
                <w:b/>
              </w:rPr>
              <w:t>Good Standing Certificate</w:t>
            </w:r>
            <w:r>
              <w:rPr/>
              <w:t>) issued by the Registrar in respect of the Company.</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 xml:space="preserve">A certificate dated on the date hereof as to certain matters of fact signed by a director of the Company in the form annexed hereto (the </w:t>
            </w:r>
            <w:r>
              <w:rPr>
                <w:b/>
              </w:rPr>
              <w:t>Director’s Certificate</w:t>
            </w:r>
            <w:r>
              <w:rPr/>
              <w:t xml:space="preserve">), having attached to it a copy of the written resolutions of the directors of the Company passed on 14 July 2026 (the </w:t>
            </w:r>
            <w:r>
              <w:rPr>
                <w:b/>
              </w:rPr>
              <w:t>Resolutions</w:t>
            </w:r>
            <w:r>
              <w:rPr/>
              <w:t>).</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 xml:space="preserve">The Register of Writs maintained by the office of the Clerk of Courts in the Cayman Islands as inspected by us on 31 July 2026 (the </w:t>
            </w:r>
            <w:r>
              <w:rPr>
                <w:b/>
              </w:rPr>
              <w:t>Register of Writs</w:t>
            </w:r>
            <w:r>
              <w:rPr/>
              <w:t>).</w:t>
            </w:r>
          </w:p>
        </w:tc>
      </w:tr>
    </w:tbl>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 – The Documents</w:t>
      </w:r>
    </w:p>
    <w:p>
      <w:pPr>
        <w:pStyle w:val="TextBody"/>
        <w:bidi w:val="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491"/>
        <w:gridCol w:w="9582"/>
      </w:tblGrid>
      <w:tr>
        <w:trPr/>
        <w:tc>
          <w:tcPr>
            <w:tcW w:w="13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pPr>
            <w:r>
              <w:rPr/>
              <w:t>7</w:t>
            </w:r>
          </w:p>
        </w:tc>
        <w:tc>
          <w:tcPr>
            <w:tcW w:w="9582" w:type="dxa"/>
            <w:tcBorders/>
            <w:vAlign w:val="center"/>
          </w:tcPr>
          <w:p>
            <w:pPr>
              <w:pStyle w:val="TableContents"/>
              <w:bidi w:val="0"/>
              <w:spacing w:before="0" w:after="283"/>
              <w:jc w:val="both"/>
              <w:rPr/>
            </w:pPr>
            <w:r>
              <w:rPr/>
              <w:t>The Prospectus Supplement.</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 xml:space="preserve">The form of sales agreement between the Company and Chaince Securities, LLC relating to the offer, sale and issuance of the Shares (the </w:t>
            </w:r>
            <w:r>
              <w:rPr>
                <w:b/>
              </w:rPr>
              <w:t>ATM Agreement</w:t>
            </w:r>
            <w:r>
              <w:rPr/>
              <w:t>).</w:t>
            </w:r>
          </w:p>
        </w:tc>
      </w:tr>
    </w:tbl>
    <w:p>
      <w:pPr>
        <w:pStyle w:val="TextBody"/>
        <w:bidi w:val="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bdr w:val="single" w:sz="16" w:space="1" w:color="000000"/>
        </w:rPr>
      </w:pPr>
      <w:r>
        <w:rPr>
          <w:bdr w:val="single" w:sz="16" w:space="1" w:color="000000"/>
        </w:rPr>
        <w:t>4</w:t>
      </w:r>
    </w:p>
    <w:p>
      <w:pPr>
        <w:pStyle w:val="TextBody"/>
        <w:bidi w:val="0"/>
        <w:spacing w:before="0" w:after="0"/>
        <w:ind w:left="0" w:right="0" w:hanging="0"/>
        <w:jc w:val="left"/>
        <w:rPr/>
      </w:pPr>
      <w:r>
        <w:rPr/>
        <w:t> </w:t>
      </w:r>
    </w:p>
    <w:p>
      <w:pPr>
        <w:pStyle w:val="TextBody"/>
        <w:bidi w:val="0"/>
        <w:ind w:left="709" w:right="0" w:hanging="709"/>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ind w:left="0" w:right="0" w:hanging="0"/>
        <w:jc w:val="center"/>
        <w:rPr>
          <w:caps/>
        </w:rPr>
      </w:pPr>
      <w:r>
        <w:rPr>
          <w:caps/>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jc w:val="center"/>
        <w:rPr>
          <w:caps w:val="false"/>
          <w:smallCaps w:val="false"/>
        </w:rPr>
      </w:pPr>
      <w:r>
        <w:rPr>
          <w:caps w:val="false"/>
          <w:smallCaps w:val="false"/>
        </w:rPr>
        <w:t> </w:t>
      </w:r>
    </w:p>
    <w:p>
      <w:pPr>
        <w:pStyle w:val="TextBody"/>
        <w:bidi w:val="0"/>
        <w:ind w:left="709"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of general application</w:t>
      </w:r>
    </w:p>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17"/>
        <w:gridCol w:w="9929"/>
      </w:tblGrid>
      <w:tr>
        <w:trPr/>
        <w:tc>
          <w:tcPr>
            <w:tcW w:w="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All copy documents examined by us (whether in facsimile, electronic or other form) conform to the originals and those originals are authentic and complete.</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44"/>
        <w:gridCol w:w="10022"/>
      </w:tblGrid>
      <w:tr>
        <w:trPr/>
        <w:tc>
          <w:tcPr>
            <w:tcW w:w="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Each of the Good Standing Certificate and the Director’s Certificate is accurate and complete as at the date of this opinion.</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Where any Document has been provided to us in draft or undated form, that Document has been executed by all parties in materially the form provided to us and, where we have been provided with successive drafts of a Document marked to show changes from a previous draft, all such changes have been accurately marked.</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hd w:fill="BFBFBF" w:val="clear"/>
              </w:rPr>
            </w:pPr>
            <w:r>
              <w:rPr>
                <w:shd w:fill="BFBFBF" w:val="clear"/>
              </w:rPr>
              <w:t>6</w:t>
            </w:r>
          </w:p>
        </w:tc>
        <w:tc>
          <w:tcPr>
            <w:tcW w:w="10028" w:type="dxa"/>
            <w:tcBorders/>
            <w:vAlign w:val="center"/>
          </w:tcPr>
          <w:p>
            <w:pPr>
              <w:pStyle w:val="TableContents"/>
              <w:bidi w:val="0"/>
              <w:spacing w:before="0" w:after="283"/>
              <w:jc w:val="both"/>
              <w:rPr/>
            </w:pPr>
            <w:r>
              <w:rPr/>
              <w:t>There will be no intervening circumstance relevant to this opinion between the date hereof and the date upon which the Shares are issued.</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There is nothing in any law (other than the laws of the Cayman Islands) that would or might affect the opinions herein.</w:t>
            </w:r>
          </w:p>
        </w:tc>
      </w:tr>
    </w:tbl>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authorisation and execution</w:t>
      </w:r>
    </w:p>
    <w:p>
      <w:pPr>
        <w:pStyle w:val="TextBody"/>
        <w:bidi w:val="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Each of the parties to the Documents other than the Company shall be duly incorporated, formed or organised (as applicable), validly existing and in good standing under all relevant laws.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Each Document has been duly authorised, executed and unconditionally delivered by or on behalf of all parties to it (other than the Company) in accordance with all applicable laws and, in respect of the Company, in the manner authorised by the Board.</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8" w:type="dxa"/>
            <w:tcBorders/>
            <w:vAlign w:val="center"/>
          </w:tcPr>
          <w:p>
            <w:pPr>
              <w:pStyle w:val="TableContents"/>
              <w:bidi w:val="0"/>
              <w:spacing w:before="0" w:after="283"/>
              <w:jc w:val="both"/>
              <w:rPr/>
            </w:pPr>
            <w:r>
              <w:rPr/>
              <w:t>Each Document that has not been executed as of the date of this opinion will be duly executed and unconditionally delivered by the Company in the manner authorised by the Board.</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8" w:type="dxa"/>
            <w:tcBorders/>
            <w:vAlign w:val="center"/>
          </w:tcPr>
          <w:p>
            <w:pPr>
              <w:pStyle w:val="TableContents"/>
              <w:bidi w:val="0"/>
              <w:spacing w:before="0" w:after="283"/>
              <w:jc w:val="both"/>
              <w:rPr/>
            </w:pPr>
            <w:r>
              <w:rPr/>
              <w:t>In authorising the execution and delivery of the Documents by the Company, the issue and allotment of the Shares, and the exercise of its rights and performance of its obligations under the Documents, each of the directors of the Company has acted in good faith with a view to the best interests of the Company and has exercised the standard of care, diligence and skill that is required of him or her.</w:t>
            </w:r>
          </w:p>
        </w:tc>
      </w:tr>
    </w:tbl>
    <w:p>
      <w:pPr>
        <w:pStyle w:val="TextBody"/>
        <w:bidi w:val="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bdr w:val="single" w:sz="16" w:space="1" w:color="000000"/>
        </w:rPr>
      </w:pPr>
      <w:r>
        <w:rPr>
          <w:bdr w:val="single" w:sz="16" w:space="1" w:color="000000"/>
        </w:rPr>
        <w:t>5</w:t>
      </w:r>
    </w:p>
    <w:p>
      <w:pPr>
        <w:pStyle w:val="TextBody"/>
        <w:bidi w:val="0"/>
        <w:spacing w:before="0" w:after="0"/>
        <w:ind w:left="0" w:right="0" w:hanging="0"/>
        <w:jc w:val="left"/>
        <w:rPr/>
      </w:pPr>
      <w:r>
        <w:rPr/>
        <w:t> </w:t>
      </w:r>
    </w:p>
    <w:p>
      <w:pPr>
        <w:pStyle w:val="TextBody"/>
        <w:bidi w:val="0"/>
        <w:ind w:left="709" w:right="0" w:hanging="709"/>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w:t>
      </w:r>
    </w:p>
    <w:p>
      <w:pPr>
        <w:pStyle w:val="TextBody"/>
        <w:bidi w:val="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12</w:t>
            </w:r>
          </w:p>
        </w:tc>
        <w:tc>
          <w:tcPr>
            <w:tcW w:w="9908"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Cayman Islands. In particular, but without limitation to the previous sentence:</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laws or public policies of any jurisdiction other than the Cayman Islands will not adversely affect the capacity or authority of the Company; and</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neither the execution or delivery of the Documents nor the exercise by any party to the Documents of its rights or the performance of its obligations under them contravene those laws or public policies.</w:t>
            </w:r>
          </w:p>
        </w:tc>
      </w:tr>
    </w:tbl>
    <w:p>
      <w:pPr>
        <w:pStyle w:val="TextBody"/>
        <w:bidi w:val="0"/>
        <w:ind w:left="1418" w:right="0" w:hanging="709"/>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w:t>
      </w:r>
    </w:p>
    <w:p>
      <w:pPr>
        <w:pStyle w:val="TextBody"/>
        <w:bidi w:val="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02"/>
        <w:gridCol w:w="9859"/>
      </w:tblGrid>
      <w:tr>
        <w:trPr/>
        <w:tc>
          <w:tcPr>
            <w:tcW w:w="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13</w:t>
            </w:r>
          </w:p>
        </w:tc>
        <w:tc>
          <w:tcPr>
            <w:tcW w:w="9859" w:type="dxa"/>
            <w:tcBorders/>
            <w:vAlign w:val="center"/>
          </w:tcPr>
          <w:p>
            <w:pPr>
              <w:pStyle w:val="TableContents"/>
              <w:bidi w:val="0"/>
              <w:spacing w:before="0" w:after="283"/>
              <w:jc w:val="both"/>
              <w:rPr/>
            </w:pPr>
            <w:r>
              <w:rPr/>
              <w:t>The Shares to be issued shall be issued at an issue price in excess of the par value thereof.</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14</w:t>
            </w:r>
          </w:p>
        </w:tc>
        <w:tc>
          <w:tcPr>
            <w:tcW w:w="9908" w:type="dxa"/>
            <w:tcBorders/>
            <w:vAlign w:val="center"/>
          </w:tcPr>
          <w:p>
            <w:pPr>
              <w:pStyle w:val="TableContents"/>
              <w:bidi w:val="0"/>
              <w:spacing w:before="0" w:after="283"/>
              <w:jc w:val="both"/>
              <w:rPr/>
            </w:pPr>
            <w:r>
              <w:rPr/>
              <w:t>All documents, notices, certificates and other instruments required to be delivered under the ATM Agreement in connection with the issuance of the Shares (including, without limitation, all Placement Notices (as defined in the ATM Agreement)) have been duly and properly delivered in accordance with the ATM Agreement and the Resolutions.</w:t>
            </w:r>
          </w:p>
        </w:tc>
      </w:tr>
    </w:tbl>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15</w:t>
            </w:r>
          </w:p>
        </w:tc>
        <w:tc>
          <w:tcPr>
            <w:tcW w:w="9908" w:type="dxa"/>
            <w:tcBorders/>
            <w:vAlign w:val="center"/>
          </w:tcPr>
          <w:p>
            <w:pPr>
              <w:pStyle w:val="TableContents"/>
              <w:bidi w:val="0"/>
              <w:spacing w:before="0" w:after="283"/>
              <w:jc w:val="both"/>
              <w:rPr/>
            </w:pPr>
            <w:r>
              <w:rPr/>
              <w:t>The Register of Writs constitutes a complete and accurate record of the proceedings affecting the Company before the Grand Court of the Cayman Islands as at the time we conducted our investigation of such register.</w:t>
            </w:r>
          </w:p>
        </w:tc>
      </w:tr>
    </w:tbl>
    <w:p>
      <w:pPr>
        <w:pStyle w:val="TextBody"/>
        <w:bidi w:val="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bdr w:val="single" w:sz="16" w:space="1" w:color="000000"/>
        </w:rPr>
      </w:pPr>
      <w:r>
        <w:rPr>
          <w:bdr w:val="single" w:sz="16" w:space="1" w:color="000000"/>
        </w:rPr>
        <w:t>6</w:t>
      </w:r>
    </w:p>
    <w:p>
      <w:pPr>
        <w:pStyle w:val="TextBody"/>
        <w:bidi w:val="0"/>
        <w:spacing w:before="0" w:after="0"/>
        <w:ind w:left="0" w:right="0" w:hanging="0"/>
        <w:jc w:val="left"/>
        <w:rPr/>
      </w:pPr>
      <w:r>
        <w:rPr/>
        <w:t> </w:t>
      </w:r>
    </w:p>
    <w:p>
      <w:pPr>
        <w:pStyle w:val="TextBody"/>
        <w:bidi w:val="0"/>
        <w:ind w:left="709" w:right="0" w:hanging="709"/>
        <w:jc w:val="both"/>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ind w:left="0" w:right="0" w:hanging="0"/>
        <w:jc w:val="center"/>
        <w:rPr>
          <w:caps/>
        </w:rPr>
      </w:pPr>
      <w:r>
        <w:rPr>
          <w:caps/>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Under the Companies Act (Revised) of the Cayman Islands (</w:t>
            </w:r>
            <w:r>
              <w:rPr>
                <w:b/>
              </w:rPr>
              <w:t>Companies Act</w:t>
            </w:r>
            <w:r>
              <w:rPr/>
              <w: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b/>
              </w:rPr>
              <w:t>In good standing</w:t>
            </w:r>
            <w:r>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ind w:left="709" w:right="0" w:hanging="709"/>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and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ind w:left="709" w:right="0" w:hanging="709"/>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In this opinion, the phrase “non-assessable” means, with respect to the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ind w:left="709" w:right="0" w:hanging="709"/>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61"/>
        <w:gridCol w:w="10001"/>
      </w:tblGrid>
      <w:tr>
        <w:trPr/>
        <w:tc>
          <w:tcPr>
            <w:tcW w:w="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1" w:type="dxa"/>
            <w:tcBorders/>
            <w:vAlign w:val="center"/>
          </w:tcPr>
          <w:p>
            <w:pPr>
              <w:pStyle w:val="TableContents"/>
              <w:bidi w:val="0"/>
              <w:spacing w:before="0" w:after="283"/>
              <w:jc w:val="both"/>
              <w:rPr/>
            </w:pPr>
            <w:r>
              <w:rPr/>
              <w:t>Our examination of the Register of Writs cannot conclusively reveal whether or not there is:</w:t>
            </w:r>
          </w:p>
        </w:tc>
      </w:tr>
    </w:tbl>
    <w:p>
      <w:pPr>
        <w:pStyle w:val="TextBody"/>
        <w:bidi w:val="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55"/>
        <w:gridCol w:w="9802"/>
      </w:tblGrid>
      <w:tr>
        <w:trPr/>
        <w:tc>
          <w:tcPr>
            <w:tcW w:w="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(a)</w:t>
            </w:r>
          </w:p>
        </w:tc>
        <w:tc>
          <w:tcPr>
            <w:tcW w:w="9802" w:type="dxa"/>
            <w:tcBorders/>
            <w:vAlign w:val="center"/>
          </w:tcPr>
          <w:p>
            <w:pPr>
              <w:pStyle w:val="TableContents"/>
              <w:bidi w:val="0"/>
              <w:spacing w:before="0" w:after="283"/>
              <w:jc w:val="both"/>
              <w:rPr/>
            </w:pPr>
            <w:r>
              <w:rPr/>
              <w:t>any current or pending litigation in the Cayman Islands against the Company; or</w:t>
            </w:r>
          </w:p>
        </w:tc>
      </w:tr>
    </w:tbl>
    <w:p>
      <w:pPr>
        <w:pStyle w:val="TextBody"/>
        <w:bidi w:val="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any application for the winding up or dissolution of the Company or the appointment of any liquidator, trustee in bankruptcy or restructuring officer in respect of the Company or any of its assets,</w:t>
            </w:r>
          </w:p>
        </w:tc>
      </w:tr>
    </w:tbl>
    <w:p>
      <w:pPr>
        <w:pStyle w:val="TextBody"/>
        <w:bidi w:val="0"/>
        <w:ind w:left="1418" w:right="0" w:hanging="709"/>
        <w:jc w:val="both"/>
        <w:rPr>
          <w:caps w:val="false"/>
          <w:smallCaps w:val="false"/>
        </w:rPr>
      </w:pPr>
      <w:r>
        <w:rPr>
          <w:caps w:val="false"/>
          <w:smallCaps w:val="false"/>
        </w:rPr>
        <w:t> </w:t>
      </w:r>
    </w:p>
    <w:p>
      <w:pPr>
        <w:pStyle w:val="TextBody"/>
        <w:bidi w:val="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pStyle w:val="TextBody"/>
        <w:bidi w:val="0"/>
        <w:ind w:left="709"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spacing w:before="60" w:after="60"/>
        <w:jc w:val="left"/>
        <w:rPr>
          <w:bdr w:val="single" w:sz="16" w:space="1" w:color="000000"/>
        </w:rPr>
      </w:pPr>
      <w:r>
        <w:rPr>
          <w:bdr w:val="single" w:sz="16" w:space="1" w:color="000000"/>
        </w:rPr>
        <w:t> </w:t>
      </w:r>
    </w:p>
    <w:p>
      <w:pPr>
        <w:pStyle w:val="TextBody"/>
        <w:bidi w:val="0"/>
        <w:spacing w:before="200" w:after="60"/>
        <w:jc w:val="left"/>
        <w:rPr>
          <w:bdr w:val="single" w:sz="16" w:space="1" w:color="000000"/>
        </w:rPr>
      </w:pPr>
      <w:bookmarkStart w:id="8" w:name="e7804_ex23-2.htm"/>
      <w:bookmarkStart w:id="9" w:name="kse7804_ex232"/>
      <w:bookmarkEnd w:id="8"/>
      <w:bookmarkEnd w:id="9"/>
      <w:r>
        <w:rPr>
          <w:bdr w:val="single" w:sz="16" w:space="1" w:color="000000"/>
        </w:rPr>
        <w:t> </w:t>
      </w:r>
      <w:r>
        <w:br w:type="page"/>
      </w:r>
    </w:p>
    <w:p>
      <w:pPr>
        <w:pStyle w:val="TextBody"/>
        <w:bidi w:val="0"/>
        <w:spacing w:before="0" w:after="283"/>
        <w:jc w:val="left"/>
        <w:rPr/>
      </w:pPr>
      <w:r>
        <w:rPr/>
        <w:t> </w:t>
      </w:r>
    </w:p>
    <w:p>
      <w:pPr>
        <w:pStyle w:val="TextBody"/>
        <w:bidi w:val="0"/>
        <w:jc w:val="right"/>
        <w:rPr>
          <w:rFonts w:ascii="Times New Roman;Times;Serif" w:hAnsi="Times New Roman;Times;Serif"/>
          <w:b/>
          <w:i w:val="false"/>
          <w:caps/>
          <w:sz w:val="20"/>
        </w:rPr>
      </w:pPr>
      <w:r>
        <w:rPr>
          <w:rFonts w:ascii="Times New Roman;Times;Serif" w:hAnsi="Times New Roman;Times;Serif"/>
          <w:b/>
          <w:i w:val="false"/>
          <w:caps/>
          <w:sz w:val="20"/>
        </w:rPr>
        <w:t>EXHIBIT 23.2</w:t>
      </w:r>
    </w:p>
    <w:p>
      <w:pPr>
        <w:pStyle w:val="TextBody"/>
        <w:bidi w:val="0"/>
        <w:jc w:val="center"/>
        <w:rPr>
          <w:caps/>
        </w:rPr>
      </w:pPr>
      <w:r>
        <w:rPr>
          <w:caps/>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and to the incorporation by reference of our report dated April 28, 2026 with respect to the consolidated financial statements of PSM-ZJK Fasteners (Shenzhen) Co., Ltd. as of and for the years ended December 31, 2025 and 2024, which appears as Exhibit 99.1 to ZJK Industrial Co., Ltd.’s Annual Report on Form 20-F for the year ended December 31, 2025, in the Prospectus Supplement to the Registration Statement on Form F-3/A (Registration No. 333-293519) of ZJK Industrial Co., Ltd. filed with the Securities and Exchange Commission.</w:t>
      </w:r>
    </w:p>
    <w:p>
      <w:pPr>
        <w:pStyle w:val="TextBody"/>
        <w:bidi w:val="0"/>
        <w:jc w:val="both"/>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2225"/>
      </w:tblGrid>
      <w:tr>
        <w:trPr/>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tc>
      </w:tr>
      <w:tr>
        <w:trPr/>
        <w:tc>
          <w:tcPr>
            <w:tcW w:w="2225" w:type="dxa"/>
            <w:tcBorders/>
            <w:vAlign w:val="center"/>
          </w:tcPr>
          <w:p>
            <w:pPr>
              <w:pStyle w:val="TableContents"/>
              <w:bidi w:val="0"/>
              <w:spacing w:before="0" w:after="283"/>
              <w:ind w:left="0" w:right="0" w:hanging="0"/>
              <w:jc w:val="left"/>
              <w:rPr/>
            </w:pPr>
            <w:r>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w:t>
            </w:r>
          </w:p>
        </w:tc>
      </w:tr>
      <w:tr>
        <w:trPr/>
        <w:tc>
          <w:tcPr>
            <w:tcW w:w="2225" w:type="dxa"/>
            <w:tcBorders/>
            <w:vAlign w:val="center"/>
          </w:tcPr>
          <w:p>
            <w:pPr>
              <w:pStyle w:val="TableContents"/>
              <w:bidi w:val="0"/>
              <w:spacing w:before="0" w:after="283"/>
              <w:ind w:left="0" w:right="0" w:hanging="0"/>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tc>
      </w:tr>
    </w:tbl>
    <w:p>
      <w:pPr>
        <w:pStyle w:val="TextBody"/>
        <w:bidi w:val="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both"/>
        <w:rPr>
          <w:caps w:val="false"/>
          <w:smallCaps w:val="false"/>
        </w:rPr>
      </w:pPr>
      <w:r>
        <w:rPr>
          <w:caps w:val="false"/>
          <w:smallCaps w:val="false"/>
        </w:rPr>
        <w:t> </w:t>
      </w:r>
    </w:p>
    <w:p>
      <w:pPr>
        <w:pStyle w:val="TextBody"/>
        <w:bidi w:val="0"/>
        <w:spacing w:before="200" w:after="60"/>
        <w:jc w:val="left"/>
        <w:rPr>
          <w:bdr w:val="single" w:sz="16" w:space="1" w:color="000000"/>
        </w:rPr>
      </w:pPr>
      <w:bookmarkStart w:id="10" w:name="e7804_ex23-3.htm"/>
      <w:bookmarkStart w:id="11" w:name="kse7804_ex233"/>
      <w:bookmarkEnd w:id="10"/>
      <w:bookmarkEnd w:id="11"/>
      <w:r>
        <w:rPr>
          <w:bdr w:val="single" w:sz="16" w:space="1" w:color="000000"/>
        </w:rPr>
        <w:t> </w:t>
      </w:r>
      <w:r>
        <w:br w:type="page"/>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600825" cy="1362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00825" cy="1362075"/>
                    </a:xfrm>
                    <a:prstGeom prst="rect">
                      <a:avLst/>
                    </a:prstGeom>
                  </pic:spPr>
                </pic:pic>
              </a:graphicData>
            </a:graphic>
          </wp:inline>
        </w:drawing>
      </w: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and to the incorporation by reference of our report dated June 20, 2024 with respect to the financial statements of PSM-ZJK Fasteners (Shenzhen) Co., Ltd. as of and for the year ended December 31, 2023, which appears as Exhibit 99.1 to ZJK Industrial Co., Ltd.’s Annual Report on Form 20-F for the year ended December 31, 2025, in the Prospectus Supplement to the Registration Statement on Form F-3/A (Registration No. 333-293519) of ZJK Industrial Co., Ltd. filed with the Securities and Exchange Commission.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TPS Thayer LLC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Texas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color w:val="00000A"/>
        </w:rPr>
      </w:pPr>
      <w:r>
        <w:rPr>
          <w:caps w:val="false"/>
          <w:smallCaps w:val="false"/>
          <w:color w:val="00000A"/>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2.gif"/><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31093</Words>
  <Characters>163890</Characters>
  <CharactersWithSpaces>195013</CharactersWithSpaces>
  <Paragraphs>1328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